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8C_779/2012 vom 25. Juni 2013</w:t>
      </w:r>
    </w:p>
    <w:p>
      <w:r>
        <w:t>Bundesgericht, 2013-06-25, FR</w:t>
      </w:r>
    </w:p>
    <w:p>
      <w:r>
        <w:rPr>
          <w:b/>
        </w:rPr>
        <w:t xml:space="preserve">Quelle: </w:t>
      </w:r>
      <w:r>
        <w:t>https://mcp.opencaselaw.ch/entscheid/bger_8C_779_2012</w:t>
      </w:r>
    </w:p>
    <w:p>
      <w:r>
        <w:t>FR: TF 8C_779/2012 du 25 juin 2013</w:t>
      </w:r>
    </w:p>
    <w:p>
      <w:r>
        <w:t>IT: TF 8C_779/2012 del 25 giugno 2013</w:t>
      </w:r>
    </w:p>
    <w:p>
      <w:pPr>
        <w:pStyle w:val="Heading2"/>
      </w:pPr>
      <w:r>
        <w:t>Erwägungen</w:t>
      </w:r>
    </w:p>
    <w:p>
      <w:r>
        <w:rPr>
          <w:b/>
        </w:rPr>
        <w:t>E. 1.1</w:t>
      </w:r>
    </w:p>
    <w:p>
      <w:r>
        <w:t>Le recourant soutient tout d'abord qu'il n'existait pas de soupçon d'abus permettant de mettre en oeuvre une surveillance. Selon lui, la Cour de droit public aurait dû écarter du dossier le rapport de V.________ Consulting, comme il l'avait demandé, ainsi que les avis médicaux qui ont été rendus sur la base de ce rapport.</w:t>
      </w:r>
    </w:p>
    <w:p>
      <w:r>
        <w:rPr>
          <w:b/>
        </w:rPr>
        <w:t>E. 1.2</w:t>
      </w:r>
    </w:p>
    <w:p>
      <w:r>
        <w:t>Comme le rappellent à juste titre les premiers juges, l'observation d'un assuré doit être justifiée par des éléments concrets de suspicion qui font naître des doutes sur la réalité des plaintes émises par lui ou les incapacités de travail qu'il fait valoir. De tels éléments peuvent consister, par exemple, en un comportement contradictoire de l'intéressé ou des doutes sur son honnêteté (éventuellement fondés sur les indications ou les observations de tiers), des incohérences mises à jour à l'occasion d'investigations médicales, des exagérations, des simulations ou des automutilations ( ATF 137 I 327 consid. 5). Dans le cas particulier, il ressort du jugement attaqué que l'intimée a été informée en 2005 par l'Office de l'assurance-invalidité qu'un voisin du recourant avait constaté chez ce dernier un comportement incompatible avec celui d'un invalide et qu'il utilisait une canne uniquement en guise de faire-valoir. Sur la base de ces informations, l'intimée pouvait admettre qu'il existait des risques concrets faisant douter de l'étendue de l'atteinte à la santé de l'assuré. Contrairement à ce que soutient le recourant, il importe peu que ce soupçon soit né antérieurement à la décision de refus de rente de 2006. L'intimée n'était pas tenue d'utiliser les informations reçues dans l'immédiat, car à ses yeux, ce refus se justifiait déjà pour le motif que l'invalidité était insuffisante pour ouvrir droit à une rente.</w:t>
      </w:r>
    </w:p>
    <w:p>
      <w:r>
        <w:rPr>
          <w:b/>
        </w:rPr>
        <w:t>E. 2.1</w:t>
      </w:r>
    </w:p>
    <w:p>
      <w:r>
        <w:t>L'arrêt du Tribunal fédéral du 11 mars 2008 a acquis force de chose jugée. Il n'a pas fait l'objet d'une demande de révision. En matière de prestations périodiques, la force de chose jugée ne s'oppose pas à une modification due à un changement des circonstances ( STEFAN HEIMGARTNER/HANS WIPRÄCHTIGER, in Basler Kommentar, Bundesgerichtsgesetz, 2</w:t>
      </w:r>
    </w:p>
    <w:p>
      <w:r>
        <w:t>ème éd., n° 25 ad art. 61), par exemple une aggravation ou une amélioration de l'état de santé d'un assuré. La modification qui en résulte ne peut toutefois pas intervenir pour une période précédant la date de la décision sur opposition du 12 octobre 2006, qui constituait la limite temporelle du pouvoir d'examen du Tribunal fédéral dans la procédure ayant abouti à la reconnaissance d'une rente d'invalidité fondée sur une incapacité de gain de 50% (cf. ATF 121 V 362 consid. 1b p. 366; arrêt 8C_775/2010 du 14 avril 2011 consid. 5.2, rendu précédemment entre les parties).</w:t>
      </w:r>
    </w:p>
    <w:p>
      <w:r>
        <w:rPr>
          <w:b/>
        </w:rPr>
        <w:t>E. 2.2</w:t>
      </w:r>
    </w:p>
    <w:p>
      <w:r>
        <w:t>En vertu de l' art. 17 LPGA ,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cette disposition. Une rente peut ainsi être révisée non seulement en cas de modification sensible de l'état de santé, mais aussi lorsque celui-ci est resté en soi le même, mais que ses conséquences sur la capacité de gain ont subi un changement important ( ATF 130 V 343 consid. 3.5 p. 349).</w:t>
      </w:r>
    </w:p>
    <w:p>
      <w:r>
        <w:rPr>
          <w:b/>
        </w:rPr>
        <w:t>E. 2.3</w:t>
      </w:r>
    </w:p>
    <w:p>
      <w:r>
        <w:t>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 ATF 137 I 327 consid. 7.1 p. 337; arrêt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 MOSER-SZELESS, op.cit., p. 153; voir aussi l'arrêt 8C_830/2011 du 9 mars 2012 consid. 6.5).</w:t>
      </w:r>
    </w:p>
    <w:p>
      <w:r>
        <w:rPr>
          <w:b/>
        </w:rPr>
        <w:t>E. 2.4</w:t>
      </w:r>
    </w:p>
    <w:p>
      <w:r>
        <w:t>Sur le plan médical, il convient d'admettre, avec les premiers juges, que l'état de santé du recourant s'est amélioré par rapport à la situation décrite par le docteur K.________ en décembre 2005. On peut le déduire, en particulier, du rapport du docteur R.________ du 19 septembre 2008. Ce médecin a donné un avis médical sur les empêchements de l'intéressé à la lumière des enregistrements de vidéosurveillance. Selon ce médecin, on se trouve en face du cas clair d'une arthrodèse de la tibio-crurale avec bonne évolution. On peut certes admettre une boiterie légère quasiment imperceptible à l'aide d'orthèses mais de type fonctionnel. Il n'y a pas lieu de recourir à une canne. Il est compréhensible, toujours selon le docteur R.________, que le patient ne peut ni courir ni sauter. En revanche, il est difficilement crédible qu'il ait besoin d'effectuer des pas alternés pour monter ou descendre les escaliers et, surtout, que son état nécessite la possibilité de se lever en alternance avec la position assise, le membre inférieur bénéficiant d'un repos complet en position assise. L'attestation (datée du 15 juin 2009) invoquée par le recourant et qui émane de son médecin traitant, le docteur G.________, spécialiste en médecine interne, n'est pas de nature à remettre en cause ces constatations. Ce médecin ne prétend pas, en effet, que son patient serait entravé au niveau de ses membres inférieurs par des limitations autres que la légère boiterie constatée par le docteur R.________. On doit ainsi admettre que les conditions d'une révision étaient réalisées.</w:t>
      </w:r>
    </w:p>
    <w:p>
      <w:r>
        <w:rPr>
          <w:b/>
        </w:rPr>
        <w:t>E. 3.1</w:t>
      </w:r>
    </w:p>
    <w:p>
      <w:r>
        <w:t>Dans son jugement du 28 septembre 2007, confirmé par l'arrêt du Tribunal fédéral du 11 mars 2008, la Cour cantonale a considéré que tant l'activité principale que les activités accessoires du recourant devaient être prises en compte pour fixer le revenu sans invalidité (cf. aussi consid. 3.3 de l'arrêt 8C_676/2007 du 11 mars 2008). Elle a fixé ce revenu à 73'131 fr. Elle a constaté, en effet, que durant la dernière année où l'assuré a pu exercer entièrement ses diverses activités, soit en 1998, il avait obtenu un revenu de 49'965 fr. à titre principal et de 17'526 fr. à titre accessoire (2'728 fr. + 6'210 fr [Hôtel X.________] + 8'588 fr. [entreprise H.________]), soit au total 67'491 fr. Adapté à l'évolution des salaires nominaux (base 1993 = 100; 1998 = 105.3; 2004 = 114.1), ce montant correspondait à 73'131 fr. Pour ce qui est du revenu d'invalide, les premiers juges avaient retenu que le recourant disposait d'une capacité de travail de 100 %, mais avec un rendement de 75 % seulement, dans une activité légère en position assise et lui réservant la possibilité de se lever de temps en temps. Sur la base des données résultant de l'Enquête suisse sur la structure des salaires (ESS), ils sont partis d'un revenu de 4'588 fr. Après conversion à un horaire de travail de 41,6 heures et compte tenu d'un rendement de 75 %, ainsi que d'un abattement de 15 %, le revenu d'invalide déterminant obtenu par la juridiction cantonale était de 36'506 fr. La comparaison des revenus aboutissait à un degré d'invalidité (arrondi) de 50 %.</w:t>
      </w:r>
    </w:p>
    <w:p>
      <w:r>
        <w:rPr>
          <w:b/>
        </w:rPr>
        <w:t>E. 3.2</w:t>
      </w:r>
    </w:p>
    <w:p>
      <w:r>
        <w:t>Appelé également à se prononcer sur le produit de la surveillance, le docteur K.________ a exprimé l'avis que l'assuré jouissait d'une pleine capacité de travail dans une activité adaptée. La capacité de travail comme câbleur électronique devait être admise sans diminution de rendement. En revanche, comme manoeuvre dans une entreprise ou comme jardinier, l'intéressé était capable de fournir un certain travail, à temps partiel. Il n'était pas possible de dire s'il pourrait avoir un rendement complet dans ces deux dernières professions.</w:t>
      </w:r>
    </w:p>
    <w:p>
      <w:r>
        <w:rPr>
          <w:b/>
        </w:rPr>
        <w:t>E. 3.3</w:t>
      </w:r>
    </w:p>
    <w:p>
      <w:r>
        <w:t>Cela étant, on ne saurait sans plus suivre l'avis des premiers juges lorsqu'ils retiennent que le recourant, sur la base des éléments retenus par le docteur K.________, pourrait exercer sans restriction les activités qui étaient les siennes avant l'accident. Comme on l'a vu, l'évaluation de l'invalidité qui a conduit à l'octroi d'une rente fondée sur une incapacité de gain de 50 % se rapporte aux activités principales et accessoires exercées par le recourant avant l'accident (56 heures de travail au total par semaine). Or, le docteur K.________ ne se prononce pas sur le point de savoir si une activité, même légère, serait encore exigible dans les mêmes proportions.</w:t>
      </w:r>
    </w:p>
    <w:p>
      <w:r>
        <w:t>Sur ce point, un complément d'instruction apparaît indispensable. Il convient donc de renvoyer l'affaire à la Cour de droit public pour qu'elle procède à ce complément en ordonnant une expertise médicale.</w:t>
      </w:r>
    </w:p>
    <w:p>
      <w:r>
        <w:rPr>
          <w:b/>
        </w:rPr>
        <w:t>E. 4</w:t>
      </w:r>
    </w:p>
    <w:p>
      <w:r>
        <w:t>S'il apparaît, au terme de cette instruction, que l'assuré n'est plus apte, en raison des séquelles de l'accident, à exercer les mêmes activités qu'auparavant ou n'est plus capable de les exercer dans une même mesure, il appartiendra à la juridiction cantonale de fixer le degré d'invalidité en procédant à une comparaison des revenus étant précisé qu'un droit à la rente selon la LAA est déjà reconnu à partir d'un seuil d'invalidité de 10 % ( art. 18 al. 1 LAA ).</w:t>
      </w:r>
    </w:p>
    <w:p>
      <w:r>
        <w:rPr>
          <w:b/>
        </w:rPr>
        <w:t>E. 5</w:t>
      </w:r>
    </w:p>
    <w:p>
      <w:r>
        <w:t>L'intimée a révisé la rente avec effet rétroactif en se prévalant d'une violation par l'assuré de son obligation de renseigner (voir à ce sujet les arrêts 8C_90/2011 du 8 août 2011 consid. 8.6 et 8.7 et 8C_301/2011 du 30 juin 2011 consid. 3.5). Sans autre motivation, les premiers juges ont confirmé, sur ce point également, la décision attaquée. Comme la cause est renvoyée à l'autorité cantonale, il n'appartient pas au Tribunal fédéral de se prononcer maintenant déjà sur cette question. Le cas échéant, il appartiendra à la Cour de droit public de rendre à son propos une décision motivée.</w:t>
      </w:r>
    </w:p>
    <w:p>
      <w:r>
        <w:rPr>
          <w:b/>
        </w:rPr>
        <w:t>E. 6</w:t>
      </w:r>
    </w:p>
    <w:p>
      <w:r>
        <w:t>Vu l'issue du litige, il convient de répartir les frais de la procédure fédérale par moitié entre les parties ( art. 66 al. 1 LTF ). L'intimée, qui succombe partiellement, versera une indemnité de dépens réduite au recourant ( art. 68 al. 1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