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8C_777/2023 vom 21. Dezember 2023</w:t>
      </w:r>
    </w:p>
    <w:p>
      <w:r>
        <w:t>Bundesgericht, 2023-12-21, DE</w:t>
      </w:r>
    </w:p>
    <w:p>
      <w:r>
        <w:rPr>
          <w:b/>
        </w:rPr>
        <w:t xml:space="preserve">Quelle: </w:t>
      </w:r>
      <w:r>
        <w:t>https://mcp.opencaselaw.ch/entscheid/bger_8C_777_2023</w:t>
      </w:r>
    </w:p>
    <w:p>
      <w:r>
        <w:t>FR: TF 8C_777/2023 du 21 décembre 2023</w:t>
      </w:r>
    </w:p>
    <w:p>
      <w:r>
        <w:t>IT: TF 8C_777/2023 del 21 dicembre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Angefochten ist das Urteil vom 6. Oktober 2023 über die Nachzahlung der im Verfahren IV.2009.00028 mit Urteil vom 29. Oktober 2010 erlassenen Gerichtskosten und Auslagen für die Vertretung von total Fr. 3'783.95.</w:t>
      </w:r>
    </w:p>
    <w:p>
      <w:r>
        <w:rPr>
          <w:b/>
        </w:rPr>
        <w:t>E. 3</w:t>
      </w:r>
    </w:p>
    <w:p>
      <w:r>
        <w:t>Das kantonale Gericht hielt dazu im Wesentlichen fest, die Beschwerdeführerin sei im Urteil vom 29. Oktober 2010 auf § 92 der damals anwendbaren kantonalzürcherischen Zivilprozessordung hingewiesen worden, wonach erlassene Kosten und übernommene Auslagen dem Staat zurückzuzahlen seien, sobald die betroffene Person dazu in der Lage sei. Ab wann dies der Fall sei, beurteile sich auf der Grundlage der jeweils aktuell geltenden Einkommens- und Vermögensverhältnisse. Bei verheirateten Personen müsse das Einkommen und das Vermögen beider Ehegatten berücksichtigt werden. Zwar seien die Einkommens- und Vermögensverhältnisse von der Beschwerdeführerin nicht umfassend dargelegt. Dennoch ergebe sich aus den eingereichten Unterlagen ein hinreichend klares Bild, so dass auf ausreichend vorhandene Mittel zur Begleichung des in Frage stehenden Betrags zu schliessen sei.</w:t>
      </w:r>
    </w:p>
    <w:p>
      <w:r>
        <w:rPr>
          <w:b/>
        </w:rPr>
        <w:t>E. 4</w:t>
      </w:r>
    </w:p>
    <w:p>
      <w:r>
        <w:t>Inwiefern das kantonale Gericht damit gegen Bundesrecht verstossen oder einen anderen Beschwerdegrund (vgl. Art. 95 lit. a-e BGG ) gesetzt haben könnte, legt die Beschwerdeführerin nicht hinreichend dar. Allein zu behaupten, es fehle an einer Rechtsgrundlage, welche den Ehegatten verpflichte, - wie vorliegend - für Schulden aus der Zeit vor der Eheschliessung aufzukommen, reicht nicht aus. Dies gilt umso mehr, als das kantonale Gericht vorliegend nicht den Ehegatten, sondern die Beschwerdeführerin allein ins Recht gefasst hat. Weshalb die Mitberücksichtigung von Mitteln des Ehegatten gestützt auf die eheliche Beistands- und Unterhaltspflicht hier gegen Bundesrecht verstossen sollte oder in diesem Zusammenhang offensichtlich unrichtige Feststellungen getroffen worden wären, legt die Beschwerdeführerin nicht dar.</w:t>
      </w:r>
    </w:p>
    <w:p>
      <w:r>
        <w:rPr>
          <w:b/>
        </w:rPr>
        <w:t>E. 5</w:t>
      </w:r>
    </w:p>
    <w:p>
      <w:r>
        <w:t>Ist die Beschwerde insgesamt offensichtlich ungenügend begründet, so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