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777/2021 vom 1. März 2022</w:t>
      </w:r>
    </w:p>
    <w:p>
      <w:r>
        <w:t>Bundesgericht, 2022-03-01, DE</w:t>
      </w:r>
    </w:p>
    <w:p>
      <w:r>
        <w:rPr>
          <w:b/>
        </w:rPr>
        <w:t xml:space="preserve">Quelle: </w:t>
      </w:r>
      <w:r>
        <w:t>https://mcp.opencaselaw.ch/entscheid/bger_8C_777_2021</w:t>
      </w:r>
    </w:p>
    <w:p>
      <w:r>
        <w:t>FR: TF 8C 777/2021 du 1 mars 2022</w:t>
      </w:r>
    </w:p>
    <w:p>
      <w:r>
        <w:t>IT: TF 8C 777/2021 del 1 marzo 2022</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(vgl. BGE 145 V 304 E. 1.1; 145 II 153 E. 2.1).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vgl. BGE 145 V 215 E. 1.2).</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(siehe zum Willkürbegriff: BGE 147 V 194 E. 6.3.1)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2</w:t>
      </w:r>
    </w:p>
    <w:p>
      <w:r>
        <w:t>Streitig ist, ob die Vorinstanz Bundesrecht verletzt hat, indem sie der Beschwerdeführerin lediglich eine von September 2016 bis und mit April 2017 befristete anstatt einer unbefristeten Viertelsrente zusprach. Im Zentrum steht dabei einzig die Statusfrage.</w:t>
      </w:r>
    </w:p>
    <w:p>
      <w:r>
        <w:rPr>
          <w:b/>
        </w:rPr>
        <w:t>E. 3.1</w:t>
      </w:r>
    </w:p>
    <w:p>
      <w:r>
        <w:t>Was die massgeblichen Rechtsgrundlagen und insbesondere die vorinstanzlichen Ausführungen zur Statusfrage und Methodenwahl ( BGE 144 I 28 E. 2.3; 141 V 15 E. 3.1) anbelangt, kann auf die zutreffende Wiedergabe im angefochtenen Urteil verwiesen werden ( Art. 109 Abs. 3 Satz 2 BGG ).</w:t>
      </w:r>
    </w:p>
    <w:p>
      <w:r>
        <w:rPr>
          <w:b/>
        </w:rPr>
        <w:t>E. 3.2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4.1</w:t>
      </w:r>
    </w:p>
    <w:p>
      <w:r>
        <w:t>Die Vorinstanz erwog, im Gesundheitsfall sei davon auszugehen, dass die Beschwerdeführerin zu 75 % im Haushalt tätig wäre und einem Arbeitserwerb im Umfang von 25 % nachginge. Dazu verwies sie einerseits auf die sozialversicherungsrechtliche Qualifikation als Teilerwerbstätige, welche die Beschwerdegegnerin gestützt auf den Haushaltsbericht nachvollziehbar ermittelt habe. Andererseits sei die Annahme eines Vollzeiterwerbs unter Berücksichtigung des Betreuungsaufwands und -bedarfs für die vier zwischen 1987 und 1997 geborenen Kinder, des bisherigen beruflichen Werdegangs und der sonstigen persönlichen Umstände der Beschwerdeführerin nicht glaubhaft.</w:t>
      </w:r>
    </w:p>
    <w:p>
      <w:r>
        <w:rPr>
          <w:b/>
        </w:rPr>
        <w:t>E. 4.2</w:t>
      </w:r>
    </w:p>
    <w:p>
      <w:r>
        <w:t>Was die Beschwerdeführerin dagegen vorbringt, verfängt nicht, soweit ihre Einwände überhaupt hinreichend begründet sind und sich nicht in einer appellatorisch gehaltenen Wiedergabe der eigenen Sichtweise erschöpfen.</w:t>
      </w:r>
    </w:p>
    <w:p>
      <w:r>
        <w:rPr>
          <w:b/>
        </w:rPr>
        <w:t>E. 4.2.1</w:t>
      </w:r>
    </w:p>
    <w:p>
      <w:r>
        <w:t>Die Beantwortung der Frage, welche berufliche Tätigkeit die versicherte Person ohne gesundheitliche Beeinträchtigung ausüben würde, erfordert zwangsläufig eine hypothetische Beurteilung.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Die auf einer Würdigung konkreter Umstände basierende Festsetzung des hypothetischen Umfanges der Erwerbstätigkeit bleibt für das Bundesgericht daher verbindlich, ausser wenn sie offensichtlich unrichtig ist oder auf einer Rechtsverletzung beruht (vgl. E. 1.1 f. hiervor; siehe statt vieler: BGE 144 I 28 E. 2.4; SVR 2021 IV Nr. 75 S. 253, 9C_608/2020 E. 2.3, je mit Hinweisen).</w:t>
      </w:r>
    </w:p>
    <w:p>
      <w:r>
        <w:rPr>
          <w:b/>
        </w:rPr>
        <w:t>E. 4.2.2</w:t>
      </w:r>
    </w:p>
    <w:p>
      <w:r>
        <w:t>Laut der Beschwerdeführerin sei ihr nicht bewusst gewesen, dass die IV-Stelle bis 19. Juni 2019 eine leidensadaptierte Tätigkeit im Umfang von 70 % und danach von 50 % für zumutbar gehalten habe. Das kantonale Gericht ging ausführlich auf die medizinischen Aktenlage ein und schützte diese Einschätzung der Arbeitsfähigkeit. Die Beschwerdeführerin bringt nicht vor, sie sei bloss in geringerem Masse arbeitsfähig gewesen, sondern rügt nur, sich über ihre tatsächliche Arbeitsfähigkeit mangels eines Hinweises der IV-Stelle nicht im Klaren gewesen zu sein. Dabei wies sie die IV-Stelle bereits mit rechtskräftiger Verfügung vom 25. September 2012 darauf hin, es habe keine anspruchsrelevante Arbeitsunfähigkeit bestanden, weshalb ihr die Tätigkeit von 20 - 30 % im angestammten Beruf zumutbar sei. Ob und in welchem Umfang die Beschwerdeführerin die ihr zumutbare Arbeitsfähigkeit ausschöpft oder davon absieht, ist - auch mit Blick auf die von ihr erwähnte Unterstützung im Konkubinat - grundsätzlich eine persönliche Entscheidung. Aufgabe der IV-Stelle ist es, bei der Bemessung des Invaliditätsgrades die anspruchsrelevante Arbeitsunfähigkeit (vgl. Art. 28 IVG ) abzuklären.</w:t>
      </w:r>
    </w:p>
    <w:p>
      <w:r>
        <w:rPr>
          <w:b/>
        </w:rPr>
        <w:t>E. 4.2.3</w:t>
      </w:r>
    </w:p>
    <w:p>
      <w:r>
        <w:t>Der Einwand, das jüngste Kind sei erst im Jahr 2015 nach Ausbruch des Rheumaleidens volljährig geworden, weshalb bis dahin kein Anlass für ein Arbeitspensum von mehr als vier bis sechs Wochenstunden bestanden habe, ist nicht stichhaltig. Die Vorinstanz stellte fest, das jüngste Kind sei 2008 bereits 11 Jahre alt und damit in reduziertem Umfang betreuungsbedürftig gewesen. Die Beschwerdeführerin habe spätestens seit 2012 Sozialhilfeleistungen bezogen. Mit vier bis sechs Wochenstunden schöpfte sie trotz wirtschaftlicher Notwendigkeit nicht einmal ein Pensum von 20 - 30 % voll aus. Dies, obschon ihr unter dem Aspekt der Verwertung der Resterwerbsfähigkeit sowie angesichts des verringerten Bedarfs der Kinderbetreuung sowie ihrer gesundheitlichen Situation ein noch höheres Pensum (vgl. E. 4.2.2 hiervor) zumutbar gewesen wäre.</w:t>
      </w:r>
    </w:p>
    <w:p>
      <w:r>
        <w:rPr>
          <w:b/>
        </w:rPr>
        <w:t>E. 4.2.4</w:t>
      </w:r>
    </w:p>
    <w:p>
      <w:r>
        <w:t>Weiter stellte das kantonale Gericht anhand der Auszüge aus dem Individuellen Konto (IK-Auszüge) unbestritten fest, das jährliche Einkommen der Beschwerdeführerin habe maximal rund Fr. 23'000.- betragen und zu keinem Zeitpunkt habe sie auch nur annähernd Vollzeit gearbeitet. Dass die Vorinstanz die bei Teilerwerbstätigen anwendbare gemischte Methode der Invaliditätsbemessung unter Berücksichtigung des seit 1. Januar 2018 geltenden Berechnungsmodells ( Art. 28a Abs. 3 IVG und Art. 27 bis Abs. 2 bis 4 IVV; vgl. BGE 145 V 370 E. 4.1) falsch angewandt haben soll, ist weder gerügt noch ersichtlich. Soweit die Beschwerdeführerin das Diskriminierungsverbot nach Massgabe von Art. 8 Abs. 2 BV und Art. 14 EMRK verletzt sieht, legt sie nicht in einer dem qualifizierten Rügeprinzip genügenden Weise dar (vgl. Art. 106 Abs. 2 BGG ; E. 1.2 hiervor), inwiefern das angefochtene Urteil zu beanstanden wäre. Insbesondere zeigt sie mit ihren Vorbringen nicht auf, dass eine mit dem Urteil des EGMR Di Trizio gegen die Schweiz vom 2. Februar 2016 (7186/09) vergleichbare Konstellation vorläge oder wie die Qualifikation als Teilerwerbstätige im Sinn von Art. 28a Abs. 3 IVG sonst geschlechterdiskriminierend sein soll. Entsprechendes ist denn auch nicht erkennbar (vgl. BGE 147 V 124 E. 3.1 ff. ; 143 I 50 E. 4.1 und E. 4.4; 143 V 77 E. 3.2.2; 137 V 334 E. 6.2.3; Urteil 8C_42/2021 vom 5. März 2021 E. 4.4 f.). Weiterungen dazu erübrigen sich.</w:t>
      </w:r>
    </w:p>
    <w:p>
      <w:r>
        <w:rPr>
          <w:b/>
        </w:rPr>
        <w:t>E. 4.3</w:t>
      </w:r>
    </w:p>
    <w:p>
      <w:r>
        <w:t>Nach dem Gesagten hat die Vorinstanz kein Bundesrecht verletzt, indem sie die Beschwerdeführerin als Teilerwerbstätige (75 % Haushalts- und 25 % Erwerbsbereich) qualifizierte und ihr lediglich eine von September 2016 bis und mit April 2017 befristete anstatt einer unbefristeten Viertelsrente zusprach.</w:t>
      </w:r>
    </w:p>
    <w:p>
      <w:r>
        <w:rPr>
          <w:b/>
        </w:rPr>
        <w:t>E. 5</w:t>
      </w:r>
    </w:p>
    <w:p>
      <w:r>
        <w:t>Die offensichtlich unbegründete Beschwerde wird im vereinfachten Verfahren nach Art. 109 Abs. 2 lit. a BGG ohne Durchführung eines Schriftenwechsels und mit summarischer Begründung ( Art. 109 Abs. 3 Satz 1 BGG ) erledigt.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