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8C_777/2020 vom 14. Januar 2021</w:t>
      </w:r>
    </w:p>
    <w:p>
      <w:r>
        <w:t>Bundesgericht, 2021-01-14, DE</w:t>
      </w:r>
    </w:p>
    <w:p>
      <w:r>
        <w:rPr>
          <w:b/>
        </w:rPr>
        <w:t xml:space="preserve">Quelle: </w:t>
      </w:r>
      <w:r>
        <w:t>https://mcp.opencaselaw.ch/entscheid/bger_8C_777_2020</w:t>
      </w:r>
    </w:p>
    <w:p>
      <w:r>
        <w:t>FR: TF 8C_777/2020 du 14 janvier 2021</w:t>
      </w:r>
    </w:p>
    <w:p>
      <w:r>
        <w:t>IT: TF 8C_777/2020 del 14 gennaio 2021</w:t>
      </w:r>
    </w:p>
    <w:p>
      <w:pPr>
        <w:pStyle w:val="Heading2"/>
      </w:pPr>
      <w:r>
        <w:t>Volltext</w:t>
      </w:r>
    </w:p>
    <w:p>
      <w:r>
        <w:t>Bundesgericht</w:t>
      </w:r>
    </w:p>
    <w:p>
      <w:r>
        <w:t>Tribunal fédéral</w:t>
      </w:r>
    </w:p>
    <w:p>
      <w:r>
        <w:t>Tribunale federale</w:t>
      </w:r>
    </w:p>
    <w:p>
      <w:r>
        <w:t>Tribunal federal</w:t>
      </w:r>
    </w:p>
    <w:p>
      <w:r>
        <w:t>8C_777/2020</w:t>
      </w:r>
    </w:p>
    <w:p>
      <w:r>
        <w:t>Urteil vom 14. Januar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w:t>
      </w:r>
    </w:p>
    <w:p>
      <w:r>
        <w:t>vom 2. Oktober 2020 (AL.2020.00157).</w:t>
      </w:r>
    </w:p>
    <w:p>
      <w:r>
        <w:t>Nach Einsicht</w:t>
      </w:r>
    </w:p>
    <w:p>
      <w:r>
        <w:t>in die Beschwerde vom 17. Dezember 2020 gegen den Entscheid des Sozialversicherungsgerichts des Kantons Zürich vom 2. Oktober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vor dem kantonalen Gericht im Streit stand, ob und gegebenenfalls in welchem Umfang die Beschwerdeführerin für die Zeit ab dem 10. Oktober 2019 in einer ihrer Tätigkeiten einen zum Leistungsbezug berechtigenden Arbeitsausfall im Sinne von Art. 8 Abs. 1 lit. b und Art. 11 AVIG in Verbindung mit Art. 5 AVIV erlitten hat,</w:t>
      </w:r>
    </w:p>
    <w:p>
      <w:r>
        <w:t>dass dies allein für die Tätigkeit bei der B.________ AG und für die Monate Dezember 2019, Januar 2020 und Mai 2020 bejaht und deshalb die Angelegenheit in teilweiser Gutheissung der gegen den Einspracheentscheid der Arbeitslosenkasse vom 13. Mai 2020 gerichteten Beschwerde an diese zurückgewiesen wurde, damit sie nach erfolgter Abklärung der übrigen Voraussetzungen für einen Anspruch auf Arbeitslosenentschädigung darüber neu verfüge,</w:t>
      </w:r>
    </w:p>
    <w:p>
      <w:r>
        <w:t>dass die Beschwerdeführerin letztinstanzlich ihren Arbeitsalltag und die damit verbundenen Schwierigkeiten schildert und die Ausrichtung von Arbeitslosentaggeldern fordert,</w:t>
      </w:r>
    </w:p>
    <w:p>
      <w:r>
        <w:t>dass damit nicht näher dargetan ist, inwiefern die vorinstanzlichen Sachverhaltsfeststellungen zu den einzelnen Arbeitsverhältnissen offensichtlich unrichtig im Sinne von Art. 97 Abs. 1 BGG und die darauf beruhenden Erwägungen rechtsfehlerhaft sein sollen,</w:t>
      </w:r>
    </w:p>
    <w:p>
      <w:r>
        <w:t>dass dieser Begründungsmangel offensichtlich ist,</w:t>
      </w:r>
    </w:p>
    <w:p>
      <w:r>
        <w:t>dass deshalb im vereinfachten Verfahren nach Art. 108 Abs. 1 lit. b BGG auf die Beschwerde nicht einzutreten ist,</w:t>
      </w:r>
    </w:p>
    <w:p>
      <w:r>
        <w:t>dass in Anwendung von Art. 66 Abs. 1 Satz 2 BGG auf die Erhebung von Gerichtskosten ausnahmsweise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dem Amt für Wirtschaft und Arbeit des Kantons Zürich schriftlich mitgeteilt.</w:t>
      </w:r>
    </w:p>
    <w:p>
      <w:r>
        <w:t>Luzern, 14. Januar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