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8C_777/2014 vom 28. Januar 2015</w:t>
      </w:r>
    </w:p>
    <w:p>
      <w:r>
        <w:t>Bundesgericht, 2015-01-28, DE</w:t>
      </w:r>
    </w:p>
    <w:p>
      <w:r>
        <w:rPr>
          <w:b/>
        </w:rPr>
        <w:t xml:space="preserve">Quelle: </w:t>
      </w:r>
      <w:r>
        <w:t>https://mcp.opencaselaw.ch/entscheid/bger_8C_777_2014</w:t>
      </w:r>
    </w:p>
    <w:p>
      <w:r>
        <w:t>FR: TF 8C_777/2014 du 28 janvier 2015</w:t>
      </w:r>
    </w:p>
    <w:p>
      <w:r>
        <w:t>IT: TF 8C_777/2014 del 28 gennaio 2015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prüft sodann grundsätzlich nur die geltend gemachten Rügen; es ist nicht gehalten, wie eine erstinstanzliche Behörde alle sich stellenden rechtlichen Fragen zu beurteilen, wenn diese vor Bundesgericht nicht mehr vorgetragen wurden ( BGE 133 II 249 E. 1.4.1 S. 254 mit Hinweisen).</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Hingegen hat eine freie Überprüfung des vorinstanzlichen Entscheids in tatsächlicher Hinsicht zu unterbleiben ( Art. 97 Abs. 1, Art. 105 Abs. 2 BGG ).</w:t>
      </w:r>
    </w:p>
    <w:p>
      <w:r>
        <w:rPr>
          <w:b/>
        </w:rPr>
        <w:t>E. 1.3</w:t>
      </w:r>
    </w:p>
    <w:p>
      <w:r>
        <w:t>Im Rahmen der Invaliditätsbemessung - namentlich bei der Ermittlung von Gesundheitsschaden, Arbeitsfähigkeit und Zumutbarkeitsprofil sowie der Festsetzung der dem Einkommensvergleich zugrunde zu legenden 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aufgehobenen OG entwickelt wurden (vgl. ferner Urteil 8C_652/2008 vom 8. Mai 2009 E. 4, nicht publ. in: BGE 135 V 297 ). In dieser Hinsicht handelt es sich etwa bei der Feststellung der beiden hypothetischen Vergleichseinkommen (Einkommen, welches die versicherte Person ohne Gesundheitsschädigung hätte erzielen können [Valideneinkommen]; Einkommen, das sie trotz Gesundheitsschädigung zumutbarerweise noch zu erzielen vermöchte [Invalideneinkommen]) um eine Tatfrage, soweit sie auf konkreter Beweiswürdigung beruht, hingegen um eine Rechtsfrage, soweit sich der Entscheid nach der allgemeinen Lebenserfahrung richtet ( BGE 134 V 322 E. 5.2 S. 327 f.; 132 V 393 E. 3.3 S. 399; Urteil 9C_189/2008 vom 19. August 2008 E. 1 am Ende und 4).</w:t>
      </w:r>
    </w:p>
    <w:p>
      <w:r>
        <w:rPr>
          <w:b/>
        </w:rPr>
        <w:t>E. 2.1</w:t>
      </w:r>
    </w:p>
    <w:p>
      <w:r>
        <w:t>Unter kognitionsrechtlich eingeschränktem Blickwinkel ist zu prüfen, ob sich die tatsächlichen Verhältnisse seit Erlass des - mit Entscheid des Versicherungsgerichts des Kantons Aargau vom 19. April 2005 bestätigten - Einspracheentscheids der Beschwerdeführerin vom 13. Mai 2004 (Befristung der rückwirkend ab 1. Januar 1998 zugesprochenen ganzen Rente auf Ende Oktober 2002) bis zur rentenablehnenden Verfügung vom 22. August 2013 in erheblichem Ausmass verändert haben.</w:t>
      </w:r>
    </w:p>
    <w:p>
      <w:r>
        <w:rPr>
          <w:b/>
        </w:rPr>
        <w:t>E. 2.2</w:t>
      </w:r>
    </w:p>
    <w:p>
      <w:r>
        <w:t>Im kantonalen Entscheid wurden die für die Beurteilung massgebenden Rechtsgrundlagen, insbesondere die bei der Rentenrevision geltenden Grundsätze, die bei Neuanmeldungen analog Anwendung finden ( Art. 17 Abs. 1 ATSG ; Art. 87 Abs. 3 und 4 IVV in der bis 31. Dezember 2011 gültig gewesenen Fassung [vgl. ferner Art. 87 Abs. 2 und 3 in der seit 1. Januar 2012 geltenden Fassung]; BGE 133 V 108 E. 5.4 S. 114 mit Hinweis; siehe auch BGE 134 V 131 E. 3 S. 132 f.), zutreffend wiedergegeben. Darauf wird verwiesen.</w:t>
      </w:r>
    </w:p>
    <w:p>
      <w:r>
        <w:rPr>
          <w:b/>
        </w:rPr>
        <w:t>E. 3.1</w:t>
      </w:r>
    </w:p>
    <w:p>
      <w:r>
        <w:t>Unbestrittenermassen ist gestützt auf die (gutachtlichen) Berichte und Stellungnahmen der Klinik E.________ vom 14. August 2010 und 22. Januar 2013 sowie des RAD vom 6. März 2013 als erstellt anzusehen, dass der Beschwerdegegner seit 19. November 2010 (Zeitpunkt des MRI) im Rahmen leidensangepasster Tätigkeiten zu 80 % arbeitsfähig ist, wobei eine zusätzliche Leistungsminderung von einem Siebtel (fünf Minuten Pause nach jeweils dreissig Minuten Arbeit) besteht. Im Vergleich zum Sachverhalt, wie er dem Einspracheentscheid der Beschwerdeführerin vom 13. Mai 2004 zugrunde lag (ungeschränkte Arbeitsfähigkeit als Hilfsarbeiter), ist folglich ab diesem Zeitpunkt ein veränderter Gesundheitszustand ausgewiesen.</w:t>
      </w:r>
    </w:p>
    <w:p>
      <w:r>
        <w:rPr>
          <w:b/>
        </w:rPr>
        <w:t>E. 3.2</w:t>
      </w:r>
    </w:p>
    <w:p>
      <w:r>
        <w:t>Streitig und in einem nächsten Schritt zu beurteilen sind die erwerblichen Auswirkungen der festgestellten verminderten Arbeitsfähigkeit.</w:t>
      </w:r>
    </w:p>
    <w:p>
      <w:r>
        <w:rPr>
          <w:b/>
        </w:rPr>
        <w:t>E. 3.2.1</w:t>
      </w:r>
    </w:p>
    <w:p>
      <w:r>
        <w:t>Von keiner Seite beanstandet wird, dass der dafür vorzunehmende Einkommensvergleich gemäss den - für das Bundesgericht somit verbindlichen (E. 1.1 am Ende hievor) - vorinstanzlichen Feststellungen auf einem Invalideneinkommen in der Höhe von Fr. 36'093.20 basiert.</w:t>
      </w:r>
    </w:p>
    <w:p>
      <w:r>
        <w:rPr>
          <w:b/>
        </w:rPr>
        <w:t>E. 3.2.2</w:t>
      </w:r>
    </w:p>
    <w:p>
      <w:r>
        <w:t>Bezüglich der Festsetzung des Valideneinkommens ist das kantonale Gericht zum Schluss gelangt, es könne nicht auf den Verdienst abgestellt werden, der dem Beschwerdegegner im Zeitpunkt des Unfalls vom 21. November 1996 bei der B.________ AG ausbezahlt worden war. Dieser erweise sich, da die auf Ende Mai 1998 ausgesprochene Kündigung aus invaliditätsfremden Gründen erfolgt sei, im vorliegenden Zusammenhang als nicht massgeblich. Ebenso wenig könne der Lohn, welchen der Versicherte nach Eintritt des Gesundheitsschadens ab September 1998 bei der Firma F._________ erzielt habe, herangezogen werden. Vielmehr sei das Valideneinkommen anhand von tabellarischen Erfahrungs- und Durchschnittswerten gestützt auf die vom Bundesamt für Statistik periodisch herausgegebene Schweizerische Lohnstrukturerhebung (LSE) zu ermitteln. Da der Beschwerdegegner als Gesunder nicht nur Tätigkeiten in der Reinigungsbranche, sondern auch andere Hilfsarbeiterbeschäftigungen ausgeübt habe, sei das "Total" des Anforderungsniveaus 4 relevant. Das Valideneinkommen betrage daher nominallohnbereinigt für das Referenzjahr 2011 Fr. 61'924.65 (LSE 2010, Tabelle TA1, Männer, Anforderungsniveau 4, Total, durchschnittliche wöchentliche Arbeitszeit von 41,7 Stunden).</w:t>
      </w:r>
    </w:p>
    <w:p>
      <w:r>
        <w:t>Die Beschwerdeführerin erachtet die Annahme der Vorinstanz, es fehlten konkrete Anhaltspunkte für die Bestimmung des vor Invaliditätseintritts erzielten Lohns, als geradezu aktenwidrig und daher willkürlich. Das Valideneinkommen sei entgegen den Ausführungen im angefochtenen Entscheid auf der Basis des zuletzt bei der B.________ AG erwirtschafteten, auf das Jahr 2011 aufindexierten Verdienstes in der Höhe von Fr. 57'869.50 festzusetzen. Sollte dennoch auf Tabellenlöhne abgestellt werden, seien jedenfalls diese im Reinigungsgewerbe (LSE 2010, Tabelle TA7, Reinigung und öffentliche Hygiene, Männer, Anforderungsniveau 4) zugrunde zu legen.</w:t>
      </w:r>
    </w:p>
    <w:p>
      <w:r>
        <w:rPr>
          <w:b/>
        </w:rPr>
        <w:t>E. 3.3</w:t>
      </w:r>
    </w:p>
    <w:p>
      <w:r>
        <w:t>Für die Ermittlung des Valideneinkommens ist nach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 BGE 135 V 58 E. 3.1 S. 59; 134 V 322 E. 4.1 S. 325 f. mit Hinweisen).</w:t>
      </w:r>
    </w:p>
    <w:p>
      <w:r>
        <w:rPr>
          <w:b/>
        </w:rPr>
        <w:t>E. 3.3.1</w:t>
      </w:r>
    </w:p>
    <w:p>
      <w:r>
        <w:t>Der Beschwerdegegner war vom 1. September 1996 bis 31. Mai 1998 bei der B.________ AG und ab 1. September 1998 teilzeitlich bei der Firma F._________ angestellt gewesen. Bei beiden Unternehmen handelt (bzw. handelte) es sich um Betriebe in der Reinigungsbranche. Im Zeitraum von 1989 bis 1996 hatte der Versicherte gemäss IK-Auszug vom 18. Juli 2013 ferner für die Firmen G.________ AG, H.________ AG, I.________ AG und K.________, allesamt in M.________ domiziliert, gearbeitet. Auch diese Unternehmen sind (oder waren) im Bereich der Gebäudereinigung und der Hauswartung tätig (vgl. Zentraler Firmenindex [ www.zefix.ch ]). Des Weitern strebte er gemäss Schreiben des IV-Abklärungsdienstes, berufliche Eingliederungsmassnahmen, vom 3. Juni 1999 eine Ausbildung im Fachbereich Hausdienst an und besuchte am 2./9. sowie vom 23. - 25. November 1999 die Kurse "ABC der Reinigung - die Basis für die Reinigungspraxis" und "Gebäudereinigung - der aktuelle Überblick" im Training Center der N.________ AG. Von 2004 bis 2008 war er schliesslich u.a. für die ebenfalls im Reinigungssektor tätige Firma O.________ AG im Einsatz.</w:t>
      </w:r>
    </w:p>
    <w:p>
      <w:r>
        <w:rPr>
          <w:b/>
        </w:rPr>
        <w:t>E. 3.3.2</w:t>
      </w:r>
    </w:p>
    <w:p>
      <w:r>
        <w:t>Vor diesem Hintergrund wird deutlich, dass sich der Beschwerdegegner vor und nach Eintritt seines Gesundheitsschadens im November 1996 tatsächlich, wie von der Beschwerdeführerin angeführt, in der Reinigungsbranche betätigt hat. Sowohl dem vorerwähnten IK-Auszug wie auch der im "Bericht über die berufliche Abklärung" vom 28. September 1998 enthaltenen Auflistung kann aber auch entnommen werden, dass der Versicherte im Zeitraum von 1988 bis 1995 schwergewichtig und hauptberuflich in anderen Berufssparten aktiv war. So erzielte er 1988 sein wesentliches Jahreseinkommen (Fr. 39'663.-) bei der damaligen Baufirma P.________ AG. Von 1989 bis anfangs 1992 hatte er beim Produktionsbetrieb Q.________ AG (1989: Fr. 48'485.-, 1990: Fr. 45'868.-, 1991: Fr. 43'492.-, 1992: Fr. 3'416.-) und von August 1992 bis 1995 bei der R.________ AG (1992: Fr. 21'179.-, 1993: Fr. 56'511.-, 1994: Fr. 50'977.-, 1995: Fr. 55'344.-) gearbeitet. Von Januar bis August 1996 war er zunächst als selbstständigerwerbend deklariert und bezog hernach Arbeitslosentschädigung. Die berufliche Biografie des Beschwerdegegners belegt zudem, dass er jeweils, auch in körperlich noch unversehrtem Zustand, keine jahrzehntelangen Bindungen eingegangen war, sondern er sein diesbezügliches Umfeld regelmässig verändert hatte. Mit dem kantonalen Gericht ist folglich für die Bestimmung des Valideneinkommens mangels genügender Indizien für deren Dauerhaftigkeit weder auf die konkrete Erwerbssituation bei der B.________ AG noch auf diejenige bei der Firma F._________ abzustellen. Ebenso wenig beanstanden lässt sich nach dem Dargelegten sodann die Feststellung im angefochtenen Entscheid, es seien tabellarische Erfahrungs- und Durchschnittswerte im Bereich von allgemeinen - und nicht auf die Reinigungsbranche beschränkten - Hilfsarbeitertätigkeiten heranzuziehen. Entgegen der Betrachtungsweise der Beschwerdeführerin stellt die entsprechende vorinstanzliche Schlussfolgerung jedenfalls keine offensichtlich unrichtige Würdigung der wesentlichen Sachumstände dar. Die Annahme eines derart ermittelten Validenverdienstes in der Höhe von Fr. 61'924.65 rechtfertigt sich im Übrigen auch - im Sinne einer Plausibilitätskontrolle - angesichts der Tatsache, dass der Versicherte als Gesunder in den Jahren 1988 bis 1995 stetig sich steigernde Einkommen von insgesamt Fr. 45'541.-, Fr. 48'485.-, Fr. 47'512.-, Fr. 50'525.-, Fr. 55'182.-, Fr. 59'521.-, Fr. 57'415.- und Fr. 66'545.- erwirtschaftet hatte (vgl. IK-Auszug vom 18. Juli 2013). Dass er sich, wie in der Beschwerde geltend gemacht, im Rahmen von Hilfsarbeiten im Reinigungssektor 2011 mit einem Valideneinkommen von Fr. 53'463.- begnügt hätte, erscheint daher wenig wahrscheinlich.</w:t>
      </w:r>
    </w:p>
    <w:p>
      <w:r>
        <w:rPr>
          <w:b/>
        </w:rPr>
        <w:t>E. 3.4</w:t>
      </w:r>
    </w:p>
    <w:p>
      <w:r>
        <w:t>Die Gegenüberstellung von Validen- (Fr. 61'924.65) und Invalideneinkommen (Fr. 36'093.20; vgl. E. 3.2.1 hievor) ergibt einen Invaliditätsgrad von 42 % (zu den Rundungsregeln: BGE 130 V 121 ). Der Beschwerdegegner hat mithin Anspruch auf eine Viertelsrente.</w:t>
      </w:r>
    </w:p>
    <w:p>
      <w:r>
        <w:rPr>
          <w:b/>
        </w:rPr>
        <w:t>E. 4.1</w:t>
      </w:r>
    </w:p>
    <w:p>
      <w:r>
        <w:t>Die Beschwerdeführerin erachtet im Weiteren den vorinstanzlich nach Massgabe von Art. 88a Abs. 2 Satz 1 IVV auf 1. Februar 2011 terminierten Rentenbeginn als bundesrechtswidrig. Vielmehr sei dieser auf Grund der seit November 2010 ausgewiesenen Verschlechterung der Erwerbsfähigkeit in Beachtung der einjährigen Wartezeit nach Art. 28 Abs. 1 lit. b IVG frühestens auf den 1. November 2011 festzusetzen.</w:t>
      </w:r>
    </w:p>
    <w:p>
      <w:r>
        <w:rPr>
          <w:b/>
        </w:rPr>
        <w:t>E. 4.2</w:t>
      </w:r>
    </w:p>
    <w:p>
      <w:r>
        <w:t>Gemäss Art. 88a Abs. 2 Satz 1 IVV ist bei einer Verschlechterung der Erwerbsfähigkeit die anspruchsbeeinflussende Änderung zu berücksichtigen, sobald sie ohne wesentliche Unterbrechung drei Monate gedauert hat. Diese Bestimmung setzt jedoch voraus, dass bei Eintritt der anspruchsbeeinflussenden Änderung bereits eine rentenbegründende Invalidität vorgelegen hat, mithin ein Rentenanspruch entstanden war (Urteile 8C_834/2008 vom 5. Juni 2009 E. 4.3.1 und 4.3.2, 8C_551/2008 vom 13. November 2008 E. 3.3 und I 179/01 vom 10. Dezember 2001 E. 3b). So verhält es sich hier nicht. Wohl ist der Beschwerdegegner seit Jahren - auch nach Aufhebung der auf Ende Oktober 2002 befristeten ganzen Rente - in der Ausübung körperlich anspruchsvoller Tätigkeiten erheblich eingeschränkt. Mit ihm zumutbaren leichten bis mittelschweren Beschäftigungen hätte er jedoch unbestrittenermassen bis zu der MRI-Untersuchung vom 19. November 2010 ein rentenausschliessendes Einkommen erzielen können. Infolge Fehlens einer revidierbaren Rente im Zeitpunkt der massgeblichen Verschlechterung des Gesundheitszustands kann Art. 88a Abs. 2 Satz 1 IVV somit keine Anwendung finden. Da die relevante Verminderung der Erwerbsfähigkeit erst mehr als drei Jahre nach der Rentenaufhebung bzw. -befristung eingetreten ist, erweist sich auch Art. 29bis IVV ("Wiederaufleben der Invalidität nach Aufhebung der Rente") im vorliegenden Fall als nicht einschlägig. In Berücksichtigung der einjährigen, im November 2010 eröffneten Wartezeit gemäss Art. 28 Abs. 1 lit. b IVG ist die Rente folglich ab 1. November 2011 auszurichten ( Art. 29 Abs. 3 IVG ). Die Feststellungen im vorinstanzlichen Entscheid sind in diesem Punkt offensichtlich rechtsfehlerhaft und entsprechend zu berichtigen.</w:t>
      </w:r>
    </w:p>
    <w:p>
      <w:r>
        <w:rPr>
          <w:b/>
        </w:rPr>
        <w:t>E. 5</w:t>
      </w:r>
    </w:p>
    <w:p>
      <w:r>
        <w:t>Mit dem Urteil in der Hauptsache wird das Gesuch der Beschwerdeführerin um Gewährung der aufschiebenden Wirkung gegenstandslos (Urteil 9C_454/2013 vom 29. Oktober 2013 E. 5.2, in: AJP 2014 S. 253).</w:t>
      </w:r>
    </w:p>
    <w:p>
      <w:r>
        <w:rPr>
          <w:b/>
        </w:rPr>
        <w:t>E. 6</w:t>
      </w:r>
    </w:p>
    <w:p>
      <w:r>
        <w:t>Die Beschwerdeführerin obsiegt nur marginal (Rentenbeginn), unterliegt aber im Hauptpunkt (Rentenanspruch). Es rechtfertigt sich daher, ihr die Gerichtskosten vollumfänglich zu überbinden ( Art. 66 Abs. 1 Satz 1 BGG ). Ferner hat sie dem anwaltlich vertretenen Beschwerdegegner eine aufwandgerechte Parteientschädigung auszubezahlen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