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8C_777/2007 vom 28. April 2008</w:t>
      </w:r>
    </w:p>
    <w:p>
      <w:r>
        <w:t>Bundesgericht, 2008-04-28, DE</w:t>
      </w:r>
    </w:p>
    <w:p>
      <w:r>
        <w:rPr>
          <w:b/>
        </w:rPr>
        <w:t xml:space="preserve">Quelle: </w:t>
      </w:r>
      <w:r>
        <w:t>https://mcp.opencaselaw.ch/entscheid/bger_8C_777_2007</w:t>
      </w:r>
    </w:p>
    <w:p>
      <w:r>
        <w:t>FR: TF 8C_777/2007 du 28 avril 2008</w:t>
      </w:r>
    </w:p>
    <w:p>
      <w:r>
        <w:t>IT: TF 8C_777/2007 del 28 aprile 2008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Das kantonale Gericht hat im angefochtenen Entscheid zutreffend dargelegt, dass nach der Rechtsprechung des Eidgenössischen Versicherungsgerichts der Anordnung einer Begutachtung durch den Sozialversicherer im Verwaltungsverfahren auch unter der Herrschaft des am 1. Januar 2003 in Kraft getretenen Bundesgesetzes über den Allgemeinen Teil des Sozialversicherungsrechts (ATSG) vom 6. Oktober 2000 nicht die Rechtsnatur einer anfechtbaren Verfügung im Sinne von Art. 49 Abs. 1 ATSG zukommt ( BGE 132 V 93 E. 5 S. 100 ff.) Ferner hat es die Auslegung von Art. 44 ATSG , wonach bei den "triftigen Gründen", aus denen der Versicherte den (vom Sozialversicherer vorgeschlagenen) Gutachter ablehnen kann, zu unterscheiden ist, zwischen Einwendungen formeller Natur, welche die gesetzlichen Ausstandsgründe im Sinne von Art. 36 Abs. 1 ATSG betreffen, und Einwendungen materieller Natur, welche über die Ausstandsgründe hinausgehen, richtig dargelegt. Letztere betreffen in erster Linie die fachliche Eignung eines Gutachters und damit Fragen, welche verfahrensrechtlich zur Beweiswürdigung gehören und erst im Sachentscheid zu prüfen sind ( BGE 132 V 93 E. 6 S. 106 ff.). Das kantonale Gericht hat aus dieser Rechtsprechung zutreffend gefolgert, dass der angefochtenen Zwischenverfügung der SUVA vom 13. August 2007 lediglich insoweit Verfügungscharakter zukommt und diese demgemäss einen Anfechtungsgegenstand als Sachurteilsvoraussetzung darstellt (vgl. BGE 131 V 164 E. 2.1, 125 V 413 E. 1a S. 414 je mit weiteren Hinweisen), als damit die von der Beschwerdeführerin gegen den von der SUVA vorgeschlagenen und bestellten Gutachter Dr. med. A.________ erhobenen Ausstandsgründe als unbegründet abgewiesen wurden. Hingegen hat die Vorinstanz dem Experten-Gegenvorschlag der Beschwerdeführerin und die für die Ernennung von Prof. Dr. med. N.________ angeführten Gründe als Einwendungen materieller Natur qualifiziert und ist insoweit auf die Beschwerde nicht eingetreten.</w:t>
      </w:r>
    </w:p>
    <w:p>
      <w:r>
        <w:rPr>
          <w:b/>
        </w:rPr>
        <w:t>E. 2.2</w:t>
      </w:r>
    </w:p>
    <w:p>
      <w:r>
        <w:t>Die Beschwerdeführerin rügt, die Auslegung von Art. 44 ATSG durch die Vorinstanz sei nicht rechtskonform erfolgt, setzt sich aber mit den grammatikalischen, historischen, systematischen, teleologischen und verfahrenspraktischen Auslegungselementen, welche das Eidgenössische Versicherungsgericht in BGE 132 V 93 dargelegt hat, überhaupt nicht auseinander. Sie lässt lediglich eine eigene Auslegungsargumentation zu Art. 44 ATSG vortragen, die sie im Wesentlichen auf das "in Art. 10 der Bundesverfassung enthaltene Selbstbestimmungsrecht" stützt, welches auch für Sachverhaltsabklärungen mittels eines medizinischen Gutachtens massgebend sei. Damit hat die Beschwerdeführerin die Voraussetzungen für eine Praxisänderung (vgl. BGE 133 V 37 E. 5.3.3 S. 39 mit weiteren Hinweisen: bessere Erkenntnis der ratio legis, veränderte Verhältnisse, zunehmende Missbräuche) in keiner Weise dargetan. Zumindest unter dem Gesichtspunkt der Rechtssicherheit gilt das auch für die in der Lehre geäusserte Kritik an BGE 132 V 93 (Wiederkehr, Bemerkungen zum Urteil des Eidgenössischen Versicherungsgerichts vom 8. Februar 2006 [I 745/03], AJP 2006, 759 ff.)</w:t>
      </w:r>
    </w:p>
    <w:p>
      <w:r>
        <w:rPr>
          <w:b/>
        </w:rPr>
        <w:t>E. 3</w:t>
      </w:r>
    </w:p>
    <w:p>
      <w:r>
        <w:t>Die Beschwerdeführerin verlangt mit ihrer Beschwerde die Einsetzung von Prof. Dr. med. N.________ als Gutachter, weil sie ihn aufgrund seiner Reputation als "Spitzenchirurg im Bereich von Schulterbeschwerden", seiner wissenschaftlichen "Ausweis(e)" und seiner Gutachtertätigkeit in dem die Gesundheitsschädigung der Beschwerdeführerin betreffenden Verantwortlichkeits- und Strafverfahren als wesentlich geeigneter erachtet als den von der SUVA zum Gutachter bestellten Dr. med. A.________. Die gegen letzteren vorgebrachten Ausstandsgründe sind im Verfahren vor Bundesgericht nicht mehr streitig. Die Beschwerde hat somit ausschliesslich materielle Einwendungen im Sinne der dargelegten und von der Vorinstanz richtig angewendeten Rechtsprechung zum Gegenstand, weshalb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