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8C_776/2011 vom 14. November 2012</w:t>
      </w:r>
    </w:p>
    <w:p>
      <w:r>
        <w:t>Bundesgericht, 2012-11-14, FR</w:t>
      </w:r>
    </w:p>
    <w:p>
      <w:r>
        <w:rPr>
          <w:b/>
        </w:rPr>
        <w:t xml:space="preserve">Quelle: </w:t>
      </w:r>
      <w:r>
        <w:t>https://mcp.opencaselaw.ch/entscheid/bger_8C_776_2011</w:t>
      </w:r>
    </w:p>
    <w:p>
      <w:r>
        <w:t>FR: TF 8C_776/2011 du 14 novembre 2012</w:t>
      </w:r>
    </w:p>
    <w:p>
      <w:r>
        <w:t>IT: TF 8C_776/2011 del 14 novembre 2012</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éventuel du recourant à une indemnité de chômage à compter du 1er juin 2010.</w:t>
      </w:r>
    </w:p>
    <w:p>
      <w:r>
        <w:t>Le recours en matière de droit public ( art. 82 ss LTF ) peut être formé pour violation du droit au sens des art. 95 et 96 LTF . Le Tribunal fédéral statue en principe sur la base des faits établis par l'autorité précédente ( art. 105 al. 1 LTF ), sous réserve des cas prévus à l' art. 105 al. 2 LTF .</w:t>
      </w:r>
    </w:p>
    <w:p>
      <w:r>
        <w:t>Le recourant ne peut critiquer la constatation de faits importants pour le jugement de la cause que si ceux-ci ont été établis en violation du droit au sens de l' art. 95 LTF ou de manière manifestement inexacte ( art. 97 al. 1 LTF ), c'est-à-dire arbitraire, et si la correction du vice est susceptible d'influer sur le sort de la cause. Il lui appartient de démontrer le caractère arbitraire par une argumentation répondant aux exigences de l' art. 42 al. 2 LTF , respectivement de l' art. 106 al. 2 LTF ( ATF 133 II 249 consid. 1.4.3 p. 254 s.).</w:t>
      </w:r>
    </w:p>
    <w:p>
      <w:r>
        <w:rPr>
          <w:b/>
        </w:rPr>
        <w:t>E. 3.1</w:t>
      </w:r>
    </w:p>
    <w:p>
      <w:r>
        <w:t>La juridiction cantonale a confirmé le refus de l'intimée d'allouer l'indemnité de chômage, motif pris que le recourant, tant qu'il était inscrit au registre du commerce en qualité d'associé, avait conservé un pouvoir d'influencer considérablement les décisions de l'employeur, d'autant qu'il n'avait pas rompu tout lien avec la société. En effet, l'intéressé possède toujours une part sociale de la société, à laquelle il loue d'ailleurs des locaux dont il est le propriétaire. En outre, fondateur de la Sàrl, il a repris la fonction de sous-directeur à la demande du nouvel associé-gérant majoritaire, acceptant même que le paiement de son salaire soit différé en fonction des liquidités de la société. Cette situation implique des intérêts dans l'entreprise qui vont au-delà de ceux d'un simple salarié et qui permettent d'envisager la reprise d'une activité professionnelle au service de la société, ainsi que l'obtention d'un revenu à une année environ avant l'âge de la retraite.</w:t>
      </w:r>
    </w:p>
    <w:p>
      <w:r>
        <w:rPr>
          <w:b/>
        </w:rPr>
        <w:t>E. 3.2</w:t>
      </w:r>
    </w:p>
    <w:p>
      <w:r>
        <w:t>D'après la jurisprudence ( ATF 123 V 234 ),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 art. 31 al. 3 let . c LACI. Selon cette disposition légale,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cela vaut aussi pour les conjoints de ces personnes qui sont occupés dans l'entreprise. Dans ce sens, il existe un étroit parallélisme entre l'indemnité en cas de réduction de l'horaire de travail et le droit à l'indemnité de chômage. La situation est en revanche différente quand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des indemnités de chômage (voir plus particulièrement ATF 123 V 234 consid. 7b/bb p. 238; voir aussi DTA 2004 p. 259, C 65/04, consid. 2; SVR 2001 ALV no 14 p. 41 s., C 279/00, consid. 2a et DTA 2000 no 14 p. 70, C 208/99, consid. 2).</w:t>
      </w:r>
    </w:p>
    <w:p>
      <w:r>
        <w:t>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no 41 p. 227 s. consid. 1b et 2; SVR 1997 ALV no 101 p. 311 consid. 5c). La seule exception à ce principe concerne les membres des conseils d'administration car ils disposent ex lege (art. 716 à 716b CO) d'un pouvoir déterminant au sens de l' art. 31 al. 3 let . c LACI (DTA 1996/1997 no 41 p. 226 consid. 1b et les références). Pour les membres du conseil d'administration, le droit aux prestations peut dès lors être exclu sans qu'il soit nécessaire de déterminer plus concrètement les responsabilités qu'ils exercent au sein de la société ( ATF 122 V 270 consid. 3 p. 273; DTA 2004 no 21 p. 196 consid. 3.2, C 113/03). Il en va de même, dans une société à responsabilité limitée, des associés, respectivement des associés-gérants lorsqu'il en a été désigné, lesquels occupent collectivement une position comparable à celle du conseil d'administration d'une société anonyme (arrêts 8C_140/2010 du 12 octobre 2010, consid. 4.2; C 37/02 du 22 novembre 2002, consid. 4).</w:t>
      </w:r>
    </w:p>
    <w:p>
      <w:r>
        <w:rPr>
          <w:b/>
        </w:rPr>
        <w:t>E. 3.3.1</w:t>
      </w:r>
    </w:p>
    <w:p>
      <w:r>
        <w:t>Le recourant reproche à la juridiction cantonale une appréciation arbitraire des preuves, en tant qu'elle n'a pas pris en compte, sans raison sérieuse, un élément de preuve propre à modifier la décision. Selon l'intéressé, la juridiction précédente s'est contentée de retenir qu'il disposait ex lege d'un pouvoir déterminant au sens de l' art. 31 al. 3 let . c LACI du fait qu'il était toujours inscrit au registre du commerce en qualité d'associé de la Sàrl. Les premiers juges auraient dû tenir compte des circonstances concrètes, à savoir le fait qu'il ne participe plus aux assemblées générales et ne s'occupe plus des affaires de la société, ce qui aurait permis d'inférer qu'il ne disposait plus d'influence sur le processus de décision. Au surplus, la part sociale de l'intéressé (2'000 fr.) est de faible valeur et ne lui permet que d'avoir une garantie quant à la perception du loyer mensuel des locaux dont il est le propriétaire.</w:t>
      </w:r>
    </w:p>
    <w:p>
      <w:r>
        <w:rPr>
          <w:b/>
        </w:rPr>
        <w:t>E. 3.3.2</w:t>
      </w:r>
    </w:p>
    <w:p>
      <w:r>
        <w:t>En l'occurrence, le recours ne contient toutefois aucune démonstration du caractère arbitraire de l'état de fait du jugement attaqué. En effet, le recourant n'expose pas en quoi l'appréciation des preuves par les premiers juges est manifestement insoutenable. Son argumentation tend plutôt à substituer sa propre appréciation à celle de l'autorité précédente.</w:t>
      </w:r>
    </w:p>
    <w:p>
      <w:r>
        <w:t>Au demeurant, on ne voit guère que ses allégations soient de nature à remettre en cause le jugement attaqué. En effet, le parallélisme établi par la jurisprudence entre l'indemnité en cas de réduction de l'horaire de travail et le droit à l'indemnité de chômage repose sur le fait qu'un travailleur licencié disposant d'un pouvoir d'influer sur les décisions de la société peut, à tout moment, décider de son propre réengagement, de sorte que la perte de travail est comparable à une réduction de l'horaire de travail avec cessation momentanée d'activité. La jurisprudence en cause a pour but d'écarter un risque d'abus consistant notamment, de la part d'un assuré jouissant d'une situation comparable à un employeur, à décider à la fois de son licenciement et de son réengagement, ou à fixer le salaire déterminant le gain assuré ( ATF 123 V 234 consid. 7b/bb p. 238; cf. BORIS RUBIN, Assurance-chômage, 2ème éd., 2006, p. 122). C'est parce qu'elle considère que ce risque d'abus est d'emblée réalisé en ce qui concerne, dans une Sàrl, les associés, respectivement les associés-gérants lorsqu'il en a été désigné, lesquels disposent ex lege d'un pouvoir déterminant au sens de l' art. 31 al. 3 let . c LACI, que la jurisprudence exclut leur droit à prestations sans qu'il soit nécessaire de déterminer plus concrètement les responsabilités qu'ils exercent au sein de la société (arrêt 8C_140/2010 du 12 octobre 2010, consid. 4.3.2). Aussi, tant que sa qualité d'associé n'a pas pris fin, le droit de l'intéressé aux prestations peut être exclu sans qu'il soit nécessaire de déterminer plus concrètement les liens qu'il maintient avec la société.</w:t>
      </w:r>
    </w:p>
    <w:p>
      <w:r>
        <w:t>Vu ce qui précède, la juridiction cantonale était fondée à nier le droit du recourant à l'indemnité de chômage et le jugement attaqué n'est pas critiquable. Le recours se révèle ainsi mal fondé.</w:t>
      </w:r>
    </w:p>
    <w:p>
      <w:r>
        <w:rPr>
          <w:b/>
        </w:rPr>
        <w:t>E. 4</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