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8C_775/2015 vom 21. März 2016</w:t>
      </w:r>
    </w:p>
    <w:p>
      <w:r>
        <w:t>Bundesgericht, 2016-03-21, DE</w:t>
      </w:r>
    </w:p>
    <w:p>
      <w:r>
        <w:rPr>
          <w:b/>
        </w:rPr>
        <w:t xml:space="preserve">Quelle: </w:t>
      </w:r>
      <w:r>
        <w:t>https://mcp.opencaselaw.ch/entscheid/bger_8C_775_2015</w:t>
      </w:r>
    </w:p>
    <w:p>
      <w:r>
        <w:t>FR: TF 8C_775/2015 du 21 mars 2016</w:t>
      </w:r>
    </w:p>
    <w:p>
      <w:r>
        <w:t>IT: TF 8C_775/2015 del 21 marzo 2016</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doch prüft es, unter Berücksichtigung der allgemeinen Rüge- und Begründungspflicht ( Art. 42 Abs. 1 und 2 BGG ), nur die geltend gemachten Vorbringen, falls allfällige weitere rechtliche Mängel nicht geradezu offensichtlich sind. Hinsichtlich der Verletzung von Grundrechten gilt eine qualifizierte Rügepflicht ( Art. 106 Abs. 2 BGG ; zum Ganzen: BGE 138 I 274 E. 1.6 S. 280 f. mit Hinweisen).</w:t>
      </w:r>
    </w:p>
    <w:p>
      <w:r>
        <w:t>Das Bundesgericht legt seinem Urteil den Sachverhalt zugrunde, den die Vorinstanz festgestellt hat ( Art. 105 Abs. 1 BGG ). Es kann deren Sachverhaltsfeststellung nur berichtigen oder ergänzen, wenn sie offensichtlich unrichtig ist oder auf einer Rechtsverletzung im Sinne von Art. 95 BGG beruht ( Art. 105 Abs. 2 BGG ).</w:t>
      </w:r>
    </w:p>
    <w:p>
      <w:r>
        <w:rPr>
          <w:b/>
        </w:rPr>
        <w:t>E. 2.1.1</w:t>
      </w:r>
    </w:p>
    <w:p>
      <w:r>
        <w:t>Die Vorinstanz hat zutreffend dargelegt, dass die ordentlichen Renten der Invalidenversicherung unter anderem nach Massgabe des durchschnittlichen Jahreseinkommens zu berechnen sind ( Art. 36 Abs. 2 Satz 1 IVG in Verbindung mit Art. 29quater AHVG ). Laut Art. 29bis Abs. 1 AHVG sind lediglich die Erwerbseinkommen zwischen dem 1. Januar nach Vollendung des 20. Altersjahres und dem 31. Dezember vor Eintritt des Versicherungsfalles zu berücksichtigen. Eine die Gewährung einer höheren Rente rechtfertigende Zunahme des Invaliditätsgrades stellt einen Rentenrevisionsfall (und keinen neuen Invaliditätsfall) dar, ohne dass danach zu fragen wäre, ob sie auf eine Verschlimmerung der ursprünglichen Gesundheitsschädigung zurückzuführen ist ( BGE 126 V 157 Regest und E. 5 S. 162). Rz. 5627 der ab 1. Januar 1997 gültig gewesenen Wegleitung über die Renten in der Eidgenössischen Alters-, Hinterlassenen- und Invalidenversicherung des Bundesamtes für Sozialversicherung (RWL), die der seit 1. Januar 2003 geltenden Rz. 5629 entspricht, ist gesetzeskonform ( BGE 126 V 157 Regest und E. 6 S. 162; bestätigt mit Urteil I 780/02 vom 1. Mai 2003 E. 4.3.3, publ. in: SVR 2003 IV Nr. 34 S. 103); danach bleiben für die neue Rente bei einer Änderung des Invaliditätsgrades die gleichen Berechnungsgrundlagen (Rentenskala und durchschnittliches Jahreseinkommen) massgebend wie für die bisherige Rente.</w:t>
      </w:r>
    </w:p>
    <w:p>
      <w:r>
        <w:rPr>
          <w:b/>
        </w:rPr>
        <w:t>E. 2.1.2</w:t>
      </w:r>
    </w:p>
    <w:p>
      <w:r>
        <w:t>Im Lichte dieser Rechtsgrundlagen hat das kantonale Gericht erkannt, dass der massgebliche Versicherungsfall im Sinne von Art. 29bis Abs. 1 AHVG mit der (erneuten) Zusprache einer Rente ab 1. September 2000 eingetreten und dementsprechend lediglich die bis 31. Dezember 1999 erzielten Einkommen zu berücksichtigen waren. Gestützt auf den Auszug aus dem Individuellen Konto (IK) liess sich in Bestätigung der Verfügung der IV-Stelle vom 10. März 2015 ein durchschnittliches Jahreseinkommen von Fr. 50'760.- ermitteln.</w:t>
      </w:r>
    </w:p>
    <w:p>
      <w:r>
        <w:rPr>
          <w:b/>
        </w:rPr>
        <w:t>E. 2.2.1</w:t>
      </w:r>
    </w:p>
    <w:p>
      <w:r>
        <w:t>Der Beschwerdeführer macht geltend, die Vorinstanz habe in Verletzung von Art. 29bis Abs. 1 AHVG die ab 2000 erzielten, im IK verzeichneten erheblichen erwerblichen Einkünfte nicht in die Berechnung des durchschnittlichen Jahreseinkommens einbezogen. Gemäss dem vorinstanzlich zitierten BGE 126 V 157 sei der versicherten Person zwischen den invaliditätsbegründenden bzw. -erhöhenden Vorfällen - anders als hier - keine Umschulung gewährt worden. Wenn eine versicherte Person - wie hier - nach der erfolgreich absolvierten Umschulung einen höheren Verdienst als zuvor zu erzielen vermöge und gestützt darauf entsprechende Beiträge an die Sozialversicherung abliefere, habe sie einen gesetzlichen Anspruch darauf, dass alle im IK gutgeschriebenen Einkünfte zu berücksichtigen seien. Die vorinstanzliche Auffassung verstosse zudem auch gegen das Verbot der Diskriminierung Behinderter ( Art. 8 BV ), zumal diese nach einer erfolgreich verlaufenen Umschulung von der neu erreichten, auf dem Arbeitsmarkt verwerteten Leistungsfähigkeit - anders als sich weiterbildende gesunde Personen - nicht von einer für sie vorteilhaften Rentenbildung profitieren könnten.</w:t>
      </w:r>
    </w:p>
    <w:p>
      <w:r>
        <w:rPr>
          <w:b/>
        </w:rPr>
        <w:t>E. 2.2.2</w:t>
      </w:r>
    </w:p>
    <w:p>
      <w:r>
        <w:t>Die vom Beschwerdeführer aufgeworfenen Fragen können offen bleiben. Werden sämtliche Erwerbseinkünfte seit 1988 (inklusive Taggelder der Invalidenversicherung) bis zum Jahr vor Beginn der revisionsweise ab 1. April 2014 zugesprochenen ganzen Invalidenrente (Verfügung vom 10. März 2015) zusammengerechnet, ergibt sich gemäss IK-Auszug ein durchschnittliches Jahreseinkommen von Fr. 37'786.30. Dieser Betrag liegt zwar über dem von der Vorinstanz bis 1999 ermittelten von Fr. 35'504.40. Der Beschwerdeführer übersieht indessen zunächst, dass bei der Berechnung des durchschnittlichen Jahreseinkommens im Bereiche der IV ab dem Jahre 2007 bei einer Neuberentung der davor zu berücksichtigende sogenannte Karrierezuschlag von 20 % auf das durchschnittliche Jahreseinkommen nicht mehr gewährt werden darf, wie die Vorinstanz mit zutreffenden Hinweisen auf die Rechtslage richtig dargelegt hat. Zudem ist darauf hinzuweisen, dass im Falle der geltend gemachten Festlegung gestützt auf sämtliche Erwerbseinkommen gemäss IK-Auszug bis zum Jahre 2013 das zu ermittelnde Durchschnittseinkommen nicht mehr an die Lohn- und Preisentwicklung angepasst werden könnte, wie sie das kantonale Gericht in nicht zu beanstandender Weise vorgenommen hat. Nach den vorinstanzlich zutreffend genannten rechtlichen Vorgaben ist ohne Weiteres davon auszugehen, dass selbst bei Berücksichtigung aller bis zum Zeitpunkt des Revisionsfalles (1. April 2014) gemäss IK-Auszug erworbenen Einkommen (inklusive Taggelder der Invalidenversicherung) kein durchschnittliches Jahreseinkommen zu eruieren wäre, das über dem vom kantonalen Gericht ermittelten läge.</w:t>
      </w:r>
    </w:p>
    <w:p>
      <w:r>
        <w:rPr>
          <w:b/>
        </w:rPr>
        <w:t>E. 3</w:t>
      </w:r>
    </w:p>
    <w:p>
      <w:r>
        <w:t>Die offensichtlich unbegründete Beschwerde wird ohne Durchführung des beantragten Schriftenwechsels, mit summarischer Begründung sowie unter Verweis auf die Erwägungen im angefochtenen Entscheid abgewiesen ( Art. 109 Abs. 2 lit. a und Abs. 3 BGG ).</w:t>
      </w:r>
    </w:p>
    <w:p>
      <w:r>
        <w:rPr>
          <w:b/>
        </w:rPr>
        <w:t>E. 4</w:t>
      </w:r>
    </w:p>
    <w:p>
      <w:r>
        <w:t>Das Gesuch um Bewilligung der unentgeltlichen Rechtspflege für das bundesgerichtliche Verfahren ist wegen Aussichtslosigkeit der Beschwerde abzuweisen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