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773/2019 vom 3. Februar 2020</w:t>
      </w:r>
    </w:p>
    <w:p>
      <w:r>
        <w:t>Bundesgericht, 2020-02-03, DE</w:t>
      </w:r>
    </w:p>
    <w:p>
      <w:r>
        <w:rPr>
          <w:b/>
        </w:rPr>
        <w:t xml:space="preserve">Quelle: </w:t>
      </w:r>
      <w:r>
        <w:t>https://mcp.opencaselaw.ch/entscheid/bger_8C_773_2019</w:t>
      </w:r>
    </w:p>
    <w:p>
      <w:r>
        <w:t>FR: TF 8C 773/2019 du 3 février 2020</w:t>
      </w:r>
    </w:p>
    <w:p>
      <w:r>
        <w:t>IT: TF 8C 773/2019 del 3 febbraio 2020</w:t>
      </w:r>
    </w:p>
    <w:p>
      <w:pPr>
        <w:pStyle w:val="Heading2"/>
      </w:pPr>
      <w:r>
        <w:t>Regeste</w:t>
      </w:r>
    </w:p>
    <w:p>
      <w:r>
        <w:t>Unfallversicherung (Invalidenrente; Revison)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zu Recht die Aufhebung der Invalidenrente per 30. November 2015 in Bejahung eines Revisionsgrundes nach Art. 17 ATSG bestätigte.</w:t>
      </w:r>
    </w:p>
    <w:p>
      <w:r>
        <w:rPr>
          <w:b/>
        </w:rPr>
        <w:t>E. 2.2</w:t>
      </w:r>
    </w:p>
    <w:p>
      <w:r>
        <w:t>Die Vorinstanz legte die Bestimmungen und Grundsätze über das anwendbare Recht ( BGE 141 V 657 E. 3.5.1 S. 661; Abs. 1 der Übergangsbestimmungen zur Änderung des UVG vom 25. September 2015, AS 2016 4375, 4387) sowie die Modalitäten der Revision der Invalidenrente ( Art. 17 Abs. 1 ATSG ; BGE 141 V 9 E. 2.3 S. 10; 134 V 131 E. 3 S. 132; je mit Hinweisen) zutreffend dar. Darauf wird verwiesen.</w:t>
      </w:r>
    </w:p>
    <w:p>
      <w:r>
        <w:rPr>
          <w:b/>
        </w:rPr>
        <w:t>E. 3.1</w:t>
      </w:r>
    </w:p>
    <w:p>
      <w:r>
        <w:t>Die Beschwerdeführerin bestreitet weiter die Zulässigkeit einer materiellen Revision, weil die damalige Rentenzusprache auf der Grundlage eines Vergleichs erfolgt sei. Zutreffend ist, dass es bereits vor Inkrafttreten des ATSG nach der Rechtsprechung zulässig war, sozialversicherungsrechtliche Streitigkeiten zwischen Versicherungsträger und Versicherten vergleichsweise zu regeln (vgl. BGE 133 V 593 E. 4.3 S. 595; 104 V 162 ). Da dieser Vergleich öffentlich-rechtlicher Natur ist, ist er vom Versicherungsträger in Form einer anfechtbaren Verfügung zu eröffnen (vgl. Art. 50 ATSG , in Kraft seit 1. Januar 2003; BGE 135 V 124 E. 4.3.1 S. 131). Insoweit kann den vorinstanzlichen Darlegungen mit der Beschwerdeführerin nicht gefolgt werden, wenn im angefochtenen Entscheid ausgeführt wurde, die ursprüngliche Rentenzusprache sei mittels anfechtbarer Verfügung und nicht mittels Vergleich erfolgt. Indes kann die Beschwerdeführerin hieraus nichts zu ihren Gunsten ableiten. Insbesondere geht ihr Einwand fehl, die vergleichsweise Erledigung des Falles schliesse die nunmehr erfolgte Rentenaufhebung grundsätzlich aus. Die gestützt auf einen Vergleich mit der versicherten Person erlassene Verfügung über die Zusprechung einer Rentenleistung unterliegt vielmehr ebenfalls den Grundsätzen über die materielle Revision ( Art. 17 ATSG ) oder denjenigen über die Wiedererwägung ( Art. 53 Abs. 2 ATSG ; vgl. BGE 138 V 147 E. 2 S. 148 ff.; 140 V 77 S. 81 E. 3.2.2 f.; SVR 2018 UV Nr. 37   S. 131, 8C_248/2017 E. 4.4). Das revisionsweise (oder wiedererwägungsweise) Zurückkommen auf die erfolgte Leistungszusprechung verstösst demnach nicht gegen Treu und Glauben, wie die Beschwerdeführerin annimmt. Ebenso wenig liegt eine unrichtige Feststellung des rechtserheblichen Sachverhalts oder eine anderweitige Bundesrechtsverletzung vor. Auch wenn sich die Vorinstanz nicht näher mit den in diesem Zusammenhang vorgebrachten Rügen der Beschwerdeführerin auseinandersetzte, ist darin keine Gehörsverletzung zu sehen. Die Urteilsbegründung darf sich auf die entscheidwesentlichen Gesichtspunkte beschränken, solange sich die Betroffene über die Tragweite des Entscheids Rechenschaft geben und diesen sachgerecht anfechten kann (vgl. BGE 142 III 433 E. 4.3.2 S. 436). Es fehlen Anhaltspunkte dafür und es wird auch nicht geltend gemacht, dass die Beschwerdeführerin den Entscheid vom 27. September 2019 nicht sachgerecht hätte anfechten können.</w:t>
      </w:r>
    </w:p>
    <w:p>
      <w:r>
        <w:rPr>
          <w:b/>
        </w:rPr>
        <w:t>E. 3.2</w:t>
      </w:r>
    </w:p>
    <w:p>
      <w:r>
        <w:t>Was die revisionsrechtlich relevante gesundheitliche Veränderung betrifft, ist es nicht zu beanstanden, wenn die Vorinstanz gestützt auf die Aktenlage schloss, dass sich die funktionellen Einschränkungen der rechten Hand im Vergleich zum Zeitpunkt der ursprünglichen Rentenzusprache deutlich verbessert haben. Wie seitens der Beschwerdeführerin nicht bestritten wird, wurde zum damaligen Zeitpunkt gemäss MEDAS-Gutachten vom 7. April 1997 die Arbeitsfähigkeit als Schwesternhilfe hauptsächlich durch das vom rheumatologischen Gutachter diagnostizierte ausgeprägte Zervikobrachialsyndrom mit de facto funktioneller Einarmigkeit beeinflusst, weniger auch durch die psychiatrischen Diagnosen in Form einer anhaltenden somatoformen Schmerzstörung und einer psychoneurotischen Persönlichkeitsstörung. Mit der Vorinstanz ergibt sich gestützt auf die Observationsergebnisse, dass sich zumindest ab dem Zeitpunkt der Observation keine funktionellen Einschränkungen der rechten Hand mehr finden lassen, wie sie im Gutachten der MEDAS beschrieben wurden. Die Versicherte war in der Lage, ihre rechte Hand ohne funktionelle Einbussen im Alltag einzusetzen, was sich mit der Befundlage anlässlich der Begutachtung durch die PMEDA deckt. Dass es ihr schon seit dem Unfall, jedenfalls aber bereits vor der Observation möglich gewesen sein soll, ihren rechten Arm in der von den PMEDA-Gutachtern beschriebenen Weise einzusetzen, findet in den Akten keine Grundlage. Die Vorinstanz durfte daher auch im vorliegenden Verfahren der Unfallversicherung ohne Verletzung von Bundesrecht eine rentenwirksame Veränderung des Gesundheitszustandes feststellen. Dies gilt ungeachtet des Umstands, dass die Gutachter der PMEDA die Ansicht vertraten, es seien nie unfallkausale Beschwerden mit Auswirkung auf die Arbeitsfähigkeit belegt gewesen und sie insofern keine revisionsrechtlich beachtliche Veränderung des Gesundheitszustands festhielten, sondern eine andere Beurteilung desselben vornahmen. Zu betonen ist, dass die Invalidenrente nicht nur bei wesentlicher Veränderung des Gesundheitszustandes, sondern auch dann revidierbar ist, wenn sich die erwerblichen Auswirkungen des an sich gleich gebliebenen Gesundheitsschadens erheblich verändert haben, da sich die Arbeitsfähigkeit durch Angewöhnung oder Anpassung verbessern kann. Die objektivierbaren klinischen Befunde anlässlich der PMEDA Begutachtung und die aus der Observation gezogenen Erkenntnisse (zur Zulässigkeit der Verwertung der Observationsergebnisse siehe E. 5.2 des Urteils 8C_770/2019) lassen mit der Vorinstanz auf eine revisionsrechtlich erhebliche Verbesserung des Leistungsvermögens schliessen. Denn spätestens seit der Observation im Juli 2014 besteht eine vollständige Arbeitsfähigkeit in der angestammten sowie in einer leidensadaptierten Tätigkeit, nachdem im Zeitpunkt der Leistungszusprechung die Arbeitsfähigkeit der Versicherten wesentlich durch die faktische Einarmigkeit eingeschränkt wurde, weshalb ihr die Tätigkeit als Schwesternhilfe nicht mehr zumutbar war. Die Beschwerdeführerin bringt nichts vor, was unfallversicherungsrechtlich zu einem anderen Ergebnis führen könnte, zumal sich ihre diesbezüglichen Rügen in der Wiederholung des bereits im Verfahren betreffend die Invalidenversicherung Vorgebrachten erschöpfen. Bei dieser Sach- und Rechtslage bestätigte die Vorinstanz demnach die Rentenaufhebung auf den 30. November 2015 im Rahmen einer Revision nach Art. 17 ATSG zu Recht.</w:t>
      </w:r>
    </w:p>
    <w:p>
      <w:r>
        <w:rPr>
          <w:b/>
        </w:rPr>
        <w:t>E. 4</w:t>
      </w:r>
    </w:p>
    <w:p>
      <w:r>
        <w:t>Das Verfahren ist kostenpflichtig. Die unterliegende Versicherte trägt die Gerichtskosten ( Art. 66 Abs. 1 BGG ). Die Allianz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