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773/2009 vom 19. Februar 2010</w:t>
      </w:r>
    </w:p>
    <w:p>
      <w:r>
        <w:t>Bundesgericht, 2010-02-19, DE</w:t>
      </w:r>
    </w:p>
    <w:p>
      <w:r>
        <w:rPr>
          <w:b/>
        </w:rPr>
        <w:t xml:space="preserve">Quelle: </w:t>
      </w:r>
      <w:r>
        <w:t>https://mcp.opencaselaw.ch/entscheid/bger_8C_773_2009</w:t>
      </w:r>
    </w:p>
    <w:p>
      <w:r>
        <w:t>FR: TF 8C 773/2009 du 19 février 2010</w:t>
      </w:r>
    </w:p>
    <w:p>
      <w:r>
        <w:t>IT: TF 8C 773/2009 del 19 febbraio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ist, ob sich der Invaliditätsgrad des Versicherten seit der rentenaufhebenden Verfügung vom 18. November 1993 bis zur rentenabweisenden Verfügung vom 7. Dezember 2007 in einer für den Rentenanspruch relevanten Weise verändert hat. Die Vorinstanz hat in materiell- und beweisrechtlicher Hinsicht die für die Beurteilung dieser Frage massgeblichen Grundlagen sowie die diesbezügliche Rechtsprechung zutreffend dargelegt. Darauf wird verwiesen.</w:t>
      </w:r>
    </w:p>
    <w:p>
      <w:r>
        <w:rPr>
          <w:b/>
        </w:rPr>
        <w:t>E. 3</w:t>
      </w:r>
    </w:p>
    <w:p>
      <w:r>
        <w:t>Mit Bezug auf die Arbeitsfähigkeit gelangte das kantonale Gericht nach Würdigung der medizinischen Unterlagen zum Schluss, dass der Beschwerdeführer in seiner gelernten Tätigkeit als Maler zu 100 % arbeitsunfähig ist. In der zuletzt ausgeübten Tätigkeit als Portier oder in einer andern angepassten Tätigkeit sah es indes keine Einschränkung in der Arbeitsfähigkeit gegeben. Es stützte sich dabei auf das Gutachten des Rheumatologen Dr. med. K.________, dem es zu Recht vollen Beweiswert zuerkannte ( BGE 125 V 351 E. 3a S. 352). Die pauschal geäusserten Zweifel des Beschwerdeführers sind nicht geeignet, die vorinstanzliche Sachverhaltsfeststellung als offensichtlich unrichtig und unvollständig erscheinen zu lassen. Insbesondere kann aus dem Umstand, dass der Gutachter für die abweichende Beurteilung des behandelnden Arztes u.a. vermutungsweise psychosoziale Faktoren anführte, nichts Gegenteiliges abgeleitet werden.</w:t>
      </w:r>
    </w:p>
    <w:p>
      <w:r>
        <w:rPr>
          <w:b/>
        </w:rPr>
        <w:t>E. 4</w:t>
      </w:r>
    </w:p>
    <w:p>
      <w:r>
        <w:t>Im Rahmen der Invaliditätsbemessung ging die Vorinstanz bei der Ermittlung des Valideneinkommens davon aus, dass der Beschwerdeführer ohne Gesundheitsschädigung mit überwiegender Wahrscheinlichkeit als Maler und Geschäftsführer tätig wäre. Nach Anpassung des für 1993 mit Fr. 78'390.75 festgelegten Einkommens an die Nominallohnentwicklung bis 2007 ergab sich ein Valideneinkommen von Fr. 94'539.50, was unbestritten ist. Bei der Bestimmung des Invalideneinkommens stützte sich das kantonale Gericht auf die vom Bundesamtes für Statistik herausgegebene Lohnstrukturerhebung (LSE) 2006, nachdem der Beschwerdeführer das Arbeitsverhältnis per 31. März 2005 beendet hatte. Sie ging vom Einkommen für Männer mit Anforderungsniveau 4 (einfache und repetitive Tätigkeiten) von Fr. 4'732.- monatlich bzw. Fr. 56'784.- im Jahr 2006 (Tabelle TA1, Anforderungsniveau 4, Total Männer) aus und liess die Frage offen, ob aufgrund der Berufserfahrung und der Ausbildung nicht sogar auf den höheren Lohn bei Arbeiten im Anforderungsniveau 3 (Berufs- und Fachkenntnisse vorausgesetzt) abzustellen wäre. Unter Berücksichtigung der im Jahre 2007 betriebsüblichen wöchentlichen Arbeitszeit sowie der Nominallohnentwicklung errechnete sie ein Invalideneinkommen von Fr. 60'226.-. Verglichen mit dem Valideneinkommen von Fr. 94'539.50 resultierte ein Invaliditätsgrad von gerundet 36 %.</w:t>
      </w:r>
    </w:p>
    <w:p>
      <w:r>
        <w:rPr>
          <w:b/>
        </w:rPr>
        <w:t>E. 5.1</w:t>
      </w:r>
    </w:p>
    <w:p>
      <w:r>
        <w:t>Streitig und zu prüfen ist vorliegend einzig die Rechtsfrage (vgl. BGE 132 V 393 E. 3.3 S. 399), ob ein (behinderungsbedingt oder anderweitig begründeter) Leidensabzug vom statistisch ermittelten Invalideneinkommen vorzunehmen ist.</w:t>
      </w:r>
    </w:p>
    <w:p>
      <w:r>
        <w:rPr>
          <w:b/>
        </w:rPr>
        <w:t>E. 5.2</w:t>
      </w:r>
    </w:p>
    <w:p>
      <w:r>
        <w:t>Der Beschwerdeführer macht geltend, unter Berücksichtigung der gesundheitlichen Lage und des Alters rechtfertige sich ein leidensbedingter Abzug von 25 %. Auch gemäss Gutachten des Dr. med. K.________ leide er an beachtlichen gesundheitlichen Einschränkungen, weshalb er, wenn auch nicht in seiner Arbeitsfähigkeit, so doch in seiner Leistungsfähigkeit und in der Auswahl geeigneter Stellen deutlich eingeschränkt sei. Gemäss dem gutachterlichen Belastungsprofil sei es ihm nur noch möglich, leichte körperliche Tätigkeiten auszuüben. Er sei jedoch auch in der Ausübung leichter Tätigkeiten zusätzlich erheblich eingeschränkt. Er könne keine Überkopfarbeiten mehr ausführen, keine schweren Lasten tragen und die Tätigkeit müsse nicht nur wechselbelastend sein, sondern er könne nur kurze Strecken gehen, wobei dazwischen die Möglichkeit bestehen müsse, sich wieder hinzusetzen. Mit einer solchen erheblichen Einschränkung sei es ihm nicht möglich, einen verglichen mit einem gesunden Arbeitnehmer gleichwertigen Lohn zu erzielen.</w:t>
      </w:r>
    </w:p>
    <w:p>
      <w:r>
        <w:rPr>
          <w:b/>
        </w:rPr>
        <w:t>E. 5.3</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126 V 75 E. 5 S. 78 ff.; 129 V 472 E. 4.3.2. S. 481). Die Rechtsprechung gewährt insbesondere dann einen Abzug auf dem Invalideneinkommen, wenn eine versicherte Person selbst im Rahmen körperlich leichter Hilfsarbeitertätigkeit in ihrer Leistungsfähigkeit eingeschränkt ist ( BGE 126 V 75 E. 5a/bb S. 78). Sind hingegen leichte bis mittelschwere Arbeiten zumutbar, ist allein deswegen auch bei eingeschränkter Leistungsfähigkeit noch kein Abzug gerechtfertigt. Dies ergibt sich daraus, dass der Tabellenlohn im Anforderungsniveau 4 bereits eine Vielzahl von leichten und mittelschweren Tätigkeiten umfasst (Urteil 9C_72/2009 vom 30. März 2009 E. 3.4 mit zahlreichen Hinweisen).</w:t>
      </w:r>
    </w:p>
    <w:p>
      <w:r>
        <w:rPr>
          <w:b/>
        </w:rPr>
        <w:t>E. 5.4</w:t>
      </w:r>
    </w:p>
    <w:p>
      <w:r>
        <w:t>Dem Beschwerdeführer ist entsprechend dem Gutachten des Dr. med. K.________ vom 5. Oktober 2007 die zuletzt ausgeübte Tätigkeit als Portier mit einer leichten und wechselbelastenden Arbeit, bei der er abwechselnd kurze Strecken gehen muss und dazwischen sitzen kann, keine Überkopfarbeiten verrichten und keine schweren Lasten heben muss, uneingeschränkt zumutbar. Abgesehen von Überkopfarbeiten sind laut Gutachten auch mittelschwere Tätigkeiten möglich. Damit besteht trotz eingeschränkter Leistungsfähigkeit kein Grund für einen leidensbedingten Abzug, zumal auch leidensadaptierte Tätigkeiten (etwa leichte Verpackungs-, Montage- und Kontrollarbeiten) nicht nur im untersten (Lohn-)Bereich der massgebenden Kategorie vertreten sind. Der Beschwerdeführer ist überdies aufgrund seines beruflichen Werdegangs nicht auf leichte Hilfsarbeiten beschränkt. Wie die Vorinstanz zu Recht andeutete, wären allenfalls auch Tätigkeiten im Anforderungsniveau 3 möglich gewesen. Schliesslich spricht auch das Alter (vgl. AHI S. 237, I 377/98 E. 4c) des Versicherten nicht für ein reduziertes Einkommen.</w:t>
      </w:r>
    </w:p>
    <w:p>
      <w:r>
        <w:rPr>
          <w:b/>
        </w:rPr>
        <w:t>E. 5.5</w:t>
      </w:r>
    </w:p>
    <w:p>
      <w:r>
        <w:t>Unter diesen Umständen hat das kantonale Gericht nicht Bundesrecht verletzt, wenn es keinen Abzug vom Tabellenlohn vornahm und einen Rentenanspruch verneinte.</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