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772/2023 vom 11. Dezember 2023</w:t>
      </w:r>
    </w:p>
    <w:p>
      <w:r>
        <w:t>Bundesgericht, 2023-12-11, DE</w:t>
      </w:r>
    </w:p>
    <w:p>
      <w:r>
        <w:rPr>
          <w:b/>
        </w:rPr>
        <w:t xml:space="preserve">Quelle: </w:t>
      </w:r>
      <w:r>
        <w:t>https://mcp.opencaselaw.ch/entscheid/bger_8C_772_2023</w:t>
      </w:r>
    </w:p>
    <w:p>
      <w:r>
        <w:t>FR: TF 8C 772/2023 du 11 décembre 2023</w:t>
      </w:r>
    </w:p>
    <w:p>
      <w:r>
        <w:t>IT: TF 8C 772/2023 del 11 dicembre 2023</w:t>
      </w:r>
    </w:p>
    <w:p>
      <w:pPr>
        <w:pStyle w:val="Heading2"/>
      </w:pPr>
      <w:r>
        <w:t>Regeste</w:t>
      </w:r>
    </w:p>
    <w:p>
      <w:r>
        <w:t>Ergänzungsleistung zur AHV/IV (Prozessvoraussetzung) | Ergänzungsleistung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trat mit angefochtener Verfügung vom 2. November 2023 auf die von der Beschwerdeführerin gegen den Einspracheentscheid der Beschwerdegegnerin vom 15. August 2023 erhobene Beschwerde mangels Rechtsschutzinteresses wie auch unzureichend sachbezogener Begründung nicht ein. Dabei erläuterte es die dem Gericht als Rechtsmittelbehörde zukommenden Aufgaben und die davon nicht umfasste Pflicht, als allgemeine Beratungsstelle zu wirken.</w:t>
      </w:r>
    </w:p>
    <w:p>
      <w:r>
        <w:rPr>
          <w:b/>
        </w:rPr>
        <w:t>E. 3</w:t>
      </w:r>
    </w:p>
    <w:p>
      <w:r>
        <w:t>Inwiefern das kantonale Gericht mit dem Nichteintreten gegen Bundesrecht verstossen oder einen anderen Beschwerdegrund (vgl. Art. 95 lit. a-e BGG ) gesetzt haben könnte, legt die Beschwerdeführerin nicht dar. Allein eine klare Antwort auf von ihr im vorinstanzlichen Verfahren gestellte Fragen zu fordern,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nochmals (vgl. Urteile 9C_753/2018 vom 30. November 2018 und 8C_194/2017 vom 14. März 2017) auf die Erhebung von Gerichtskosten verzichtet. Bei gleichbleibender Rechtsmittelerhebung wird die Beschwerdeführerin indessen inskünftig nicht mehr mit dieser Rechtswohltat rechnen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