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8C_772/2016 vom 23. Januar 2017</w:t>
      </w:r>
    </w:p>
    <w:p>
      <w:r>
        <w:t>Bundesgericht, 2017-01-23, DE</w:t>
      </w:r>
    </w:p>
    <w:p>
      <w:r>
        <w:rPr>
          <w:b/>
        </w:rPr>
        <w:t xml:space="preserve">Quelle: </w:t>
      </w:r>
      <w:r>
        <w:t>https://mcp.opencaselaw.ch/entscheid/bger_8C_772_2016</w:t>
      </w:r>
    </w:p>
    <w:p>
      <w:r>
        <w:t>FR: TF 8C_772/2016 du 23 janvier 2017</w:t>
      </w:r>
    </w:p>
    <w:p>
      <w:r>
        <w:t>IT: TF 8C_772/2016 del 23 gennaio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 die Streitsache ohne Schriftenwechsel entschieden werden kann, ist der Antrag, es sei ein zweiter Schriftenwechsel durchzuführen, gegenstandslos ( Art. 102 Abs. 1 und 3 BGG ; Urteil 8C_596/2013 vom 24. Januar 2014 E. 2).</w:t>
      </w:r>
    </w:p>
    <w:p>
      <w:r>
        <w:rPr>
          <w:b/>
        </w:rPr>
        <w:t>E. 3</w:t>
      </w:r>
    </w:p>
    <w:p>
      <w:r>
        <w:t>Die Vorinstanz hat die Rechtsgrundlagen zur Erwerbsfähigkeit ( Art. 7 ATSG ) und zur Invalidität ( Art. 8 Abs. 1 ATSG ) wie auch die bei der Neuanmeldung analog anwendbaren Revisionsregeln ( Art. 17 Abs. 1 ATSG ; BGE 134 V 131 E. 3 S. 132, 117 V 198 E. 3a) richtig dargelegt. Darauf wird verwiesen.</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Geht es um eine anhaltende somatoforme Schmerzstörung oder ein damit vergleichbares psychosomatisches Leiden (vgl. BGE 140 V 8 E. 2.2.1.3 S. 13 f.),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 Gemäss altem Verfahrensstandard ( BGE 130 V 352 )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5</w:t>
      </w:r>
    </w:p>
    <w:p>
      <w:r>
        <w:t>Die Vorinstanz setzte sich eingehend sowohl mit den vor der Neuanmeldung datierenden wie auch mit den nachfolgend erstellten medizinischen Akten auseinander. Sie stellte insbesondere fest, mit Blick auf ihren rechtskräftigen Entscheid vom 25. Juli 2011 habe bis zur damaligen Verfügung vom 16. November 2009 keine krankheitsbedingte Arbeitsunfähigkeit bestanden. Im Gutachten der Klinik D.________ vom   26. Mai 2009 sei eine Anpassungsstörung mit leichter depressiver Reaktion sowie eine chronifizierte Schmerzstörung ohne organische Grundlage bei einem zervikozephalen Schmerzsyndrom bei vollständiger Arbeitsfähigkeit festgehalten worden. Gestützt auf das psychiatrische Gutachten des Dr. med. E.________ vom 20. Februar 2015 habe sich der Gesundheitszustand der Versicherten insoweit verändert, als neu von einer rezidivierenden depressiven Symptomatik, gegenwärtig leichte Episode, sowie einer anhaltenden somatoformen Schmerzstörung auszugehen sei. Keine dieser Diagnosen würden aber nach überzeugender Einschätzung des Experten die Arbeitsfähigkeit einschränken, weshalb keine wesentliche Änderung in den tatsächlichen Verhältnissen vorliege, die geeignet sei, den Rentenanspruch zu beeinflussen.</w:t>
      </w:r>
    </w:p>
    <w:p>
      <w:r>
        <w:rPr>
          <w:b/>
        </w:rPr>
        <w:t>E. 6.1</w:t>
      </w:r>
    </w:p>
    <w:p>
      <w:r>
        <w:t>Die vorinstanzlichen Sachverhaltsfeststellungen zum Gesundheitszustand und dessen Veränderung sind im Rahmen der bundesgerichtlichen Überprüfungsbefugnis (vgl. E. 1 hievor) nicht zu beanstanden. Die dagegen vorgebrachten Einwände der Beschwerdeführerin beschränken sich im Kern auf die Darlegung ihrer eigenen, von der Vorinstanz abweichenden Beweiswürdigung und Einschätzung ihrer gesundheitlichen Verhältnisse, was nicht genügt. Insbesondere vermag die Beschwerdeführerin nicht zu begründen, inwiefern das Gutachten des Dr. med. E.________ vom 20. Februar 2015 hinsichtlich der Einordnung der geltend gemachten Symptome von Vergesslichkeit oder Gedächtnisstörungen nicht beweiskräftig und die darauf basierende Beweiswürdigung der Vorinstanz willkürlich sein soll. Der psychiatrische Experte grenzte die depressive Störung von diesen Symptomen ab und beschrieb sie als wechselhaft und inkonsistent. Die Verweigerung von anamnestischen Angaben sah er im Zusammenhang mit den passiv-aggressiven und histrionisch-unreifen Persönlichkeitszügen der Versicherten oder mit Tendenzen zu manipulativem Verhalten, wenn sie nicht gar als über aggravierendes Verhalten deutlich hinausgehendes täuschendes Verhalten einzuordnen seien. Das kantonale Gericht durfte diese Ausführungen, ohne Bundesrecht zu verletzen, als überzeugend und schlüssig ansehen. Ferner kann nicht auf Befangenheit des Gutachters aufgrund dieser teilweise kritischen Äusserungen geschlossen werden. Ebenso wenig verfängt die Kritik am gutachterlichen Testverfahren (Verwendung der Hamilton-Depressionsskala) zur Validierung einer Depression. Einem solchen Verfahren kommt im Rahmen psychiatrischer Begutachtungen höchstens ergänzende Funktion zu, während die klinische Untersuchung mit Anamneseerhebung, Symptomerfassung und Verhaltensbeobachtung entscheidend bleibt (Urteil 8C_578/2014 vom 17. Oktober 2014 E. 4.2.7). Die Einstufung einer Depression als schwer, mittelschwer oder leicht obliegt dem Facharzt, wogegen es dem Laien nicht möglich sein dürfte, die entsprechenden Testresultate und Untersuchungsergebnisse schlüssig zu interpretieren. Dr. med. E.________ legte, u. a. aufgrund der Anamnese und der von ihm klinisch erhobenen Befunde, ausführlich und nachvollziehbar dar, weshalb er einzig eine rezidivierende depressive Störung mit gegenwärtig leichter depressiver Episode diagnostizierte.</w:t>
      </w:r>
    </w:p>
    <w:p>
      <w:r>
        <w:rPr>
          <w:b/>
        </w:rPr>
        <w:t>E. 6.2</w:t>
      </w:r>
    </w:p>
    <w:p>
      <w:r>
        <w:t>Nicht gefolgt werden kann der Beschwerdeführerin schliesslich soweit sie rügt, das Gutachten des Dr. med. E.________ erlaube keine rechtsgenügliche Beurteilung der anhaltenden somatoformen Schmerzstörung gemäss der mit BGE 141 V 281 geänderten Rechtsprechung. Das Gericht befasste sich in nicht zu beanstandender Weise mit den rechtserheblichen Standardindikatoren nach BGE 141 V 281 E. 4.1.3 S. 297 f. Es zeigte auf, dass, gemäss gutachterlicher Einschätzung, aufgrund einer subjektiven Krankheitsüberzeugung über nicht objektivierbare Einschränkungen geklagt werde. Laut Gutachter bestehe ein dysfunktionales Verhaltensmuster mit passiv-aggressiven und histrionisch-unreifen Persönlichkeitszügen, worauf bisher in der Psychotherapie nicht angemessen eingegangen worden sei. Eine schwerwiegende körperliche Begleiterkrankung mit Einschränkung der Arbeitsfähigkeit sei nicht auszumachen, ebensowenig eine erhebliche psychische Komorbidität. Weiter habe der Experte auf eine ambivalente Motivation für eine adäquate psychiatrisch-psychotherapeutische (stationäre) Behandlung hingewiesen. Diesbezüglich ist anzufügen, dass - entgegen den Einwendungen in der Beschwerde - der Gutachter nachvollziehbar darlegte, weshalb er die Therapiemöglichkeiten als noch nicht optimal ausgeschöpft erachtete. Die Vorinstanz führte weiter aus, der Experte habe auch gute persönliche Ressourcen und positive Alltagsaktivitäten festgestellt. So sei die Beschwerdeführerin in der Lage, täglich Spaziergänge zu machen, halte regelmässigen Kontakt zu ihren vier Kindern und pflege verschiedene weitere positive Aktivitäten mit Familienangehörigen. Aus psychiatrischer Sicht des Gutachters wäre es ihr zudem möglich, mehr im eigenen Haushalt zu arbeiten. Es bestehe ein erheblicher sekundärer Krankheitsgewinn. Das Gericht hat vor diesem Hintergrund zu Recht nicht auf eine schwere Ausprägung der Schmerzstörung geschlossen (vgl. Urteil 9C_154/2016 vom 19. Oktober 2016          E. 5.3.1). Es zeigte vielmehr in Würdigung der Aktenlage auf, dass kein stimmiges Gesamtbild vorliegt, das auf eine therapeutisch nicht angehbare erhebliche funktionelle Behinderung schliessen liesse (Konsistenz; BGE 141 V 281 E. 4.4 S. 303; SVR 2016 IV Nr. 29 S. 88 E. 4.3, 9C_340/2015).</w:t>
      </w:r>
    </w:p>
    <w:p>
      <w:r>
        <w:rPr>
          <w:b/>
        </w:rPr>
        <w:t>E. 6.3</w:t>
      </w:r>
    </w:p>
    <w:p>
      <w:r>
        <w:t>Es steht demnach in Einklang mit Bundesrecht, wenn das kantonale Gericht dem psychiatrischen Gutachten des Dr. med. E.________ vollen Beweiswert zuerkannte und dessen Befund und Einschätzung der zumutbaren Arbeitsfähigkeit folgte. Weitere medizinische Abklärungen erübrigen sich daher, was zur Bestätigung des angefochtenen Entscheids führt.</w:t>
      </w:r>
    </w:p>
    <w:p>
      <w:r>
        <w:rPr>
          <w:b/>
        </w:rPr>
        <w:t>E. 7</w:t>
      </w:r>
    </w:p>
    <w:p>
      <w:r>
        <w:t>Als unterliegende Partei hat die Beschwerdeführerin die Kosten des bundesgerichtlichen Verfahrens zu tragen ( Art. 66 Abs. 1 Satz 1 BGG ). Entsprechend dem Verfahrensausgang besteht kein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