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8C_772/2009 vom 7. Mai 2010</w:t>
      </w:r>
    </w:p>
    <w:p>
      <w:r>
        <w:t>Bundesgericht, 2010-05-07, DE</w:t>
      </w:r>
    </w:p>
    <w:p>
      <w:r>
        <w:rPr>
          <w:b/>
        </w:rPr>
        <w:t xml:space="preserve">Quelle: </w:t>
      </w:r>
      <w:r>
        <w:t>https://mcp.opencaselaw.ch/entscheid/bger_8C_772_2009</w:t>
      </w:r>
    </w:p>
    <w:p>
      <w:r>
        <w:t>FR: TF 8C_772/2009 du 7 mai 2010</w:t>
      </w:r>
    </w:p>
    <w:p>
      <w:r>
        <w:t>IT: TF 8C_772/2009 del 7 maggio 2010</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gesetzlichen Bestimmungen zum Unfallbegriff ( Art. 4 ATSG ) sowie zur Leistungspflicht der Unfallversicherung bei Unfällen ( Art. 6 Abs. 1 UVG ) und bei unfallähnlichen Körperschädigungen ( Art. 6 Abs. 2 UVG in Verbindung mit Art. 9 Abs. 2 UVV ), diesbezüglich insbesondere die zuletzt in BGE 129 V 466 bestätigte Rechtsprechung, wonach bei unfallähnlichen Körperschädigungen am Erfordernis des äusseren Faktors festzuhalten ist, zutreffend dargelegt. Darauf wird verwiesen.</w:t>
      </w:r>
    </w:p>
    <w:p>
      <w:r>
        <w:rPr>
          <w:b/>
        </w:rPr>
        <w:t>E. 3</w:t>
      </w:r>
    </w:p>
    <w:p>
      <w:r>
        <w:t>Streitig ist, ob die Zürich für die Folgen der am 27. März 2008 zugezogenen Knieverletzung der Versicherten leistungspflichtig ist. Dabei steht fest und ist unbestritten, dass der Befund einer Verletzung gemäss Art. 9 Abs. 2 UVV entspricht und dass die Versicherte am 27. März 2008 keinen Unfall im Sinne von Art. 4 ATSG erlitten hat. Zu prüfen bleibt, ob die Beschwerdegegnerin für die genannte Verletzung im Sinne einer unfallähnlichen Körperschädigung gemäss Art. 9 Abs. 2 UVV die gesetzlichen Leistungen zu erbringen hat und hiebei namentlich das Vorliegen eines äusseren Faktors.</w:t>
      </w:r>
    </w:p>
    <w:p>
      <w:r>
        <w:rPr>
          <w:b/>
        </w:rPr>
        <w:t>E. 3.1</w:t>
      </w:r>
    </w:p>
    <w:p>
      <w:r>
        <w:t>Gemäss Schadenmeldung UVG vom 7. April 2008 stand die Versicherte bei der Übergabe der Kinder an die Eltern aus der Hocke auf und verspürte einen starken Schmerz im rechten Knie. Von da an habe sie das Bein/Knie nicht mehr belasten können. Im Fragebogen der Zürich antwortete die Versicherte am 4. Mai 2008 auf die Frage nach der Schilderung des Vorgangs im Detail, sie sei mit einem Kleinkind auf dem Arm aus der Hocke aufgestanden. Als sie oben gewesen sei, habe sie das Bein nicht mehr belasten und das Knie weder strecken noch biegen können. Es habe höllisch weh getan. Beim Bewegungsablauf habe sich nichts Ungewöhnliches zugetragen. Sie verrichte diese Tätigkeit mehrmals täglich. Die Schmerzen hätten sich während der Bewegung des Aufstehens erstmals manifestiert.</w:t>
      </w:r>
    </w:p>
    <w:p>
      <w:r>
        <w:rPr>
          <w:b/>
        </w:rPr>
        <w:t>E. 3.2</w:t>
      </w:r>
    </w:p>
    <w:p>
      <w:r>
        <w:t>Bei unfallähnlichen Körperschädigungen nach Art. 9 Abs. 2 UVV müssen zur Begründung der Leistungspflicht des Unfallversicherers - wie die Vorinstanz zutreffend dargelegt hat -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 BGE 129 V 466 E. 2.2 S. 467). Die schädigende äussere Einwirkung kann in einer körpereigenen Bewegung bestehen (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 BGE 129 V 466 E. 4.2.1 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Wer also lediglich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Skelettes, der Gelenke, Muskeln, Sehnen und Bänder stellt keinen äusseren Faktor dar, dem ein zwar nicht ungewöhnliches, jedoch gegenüber dem normalen Gebrauch der Körperteile gesteigertes Gefährdungspotenzial innewohnen muss ( BGE 129 V 466 E. 4.2.2 S. 470). Für die Bejahung eines äusseren Faktors braucht es zusammenfassend demzufolge ein gesteigertes Schädigungspotenzial, sei es zufolge einer allgemein gesteigerten Gefahrenlage, sei es durch Hinzutreten eines zur Unkontrolliertheit der Vornahme der alltäglichen Lebensverrichtung führenden Faktors ( BGE 129 V 466 E. 4.3 S. 471).</w:t>
      </w:r>
    </w:p>
    <w:p>
      <w:r>
        <w:rPr>
          <w:b/>
        </w:rPr>
        <w:t>E. 3.3</w:t>
      </w:r>
    </w:p>
    <w:p>
      <w:r>
        <w:t>Die Versicherte gibt bezüglich des Ereignisses vom 27. März 2008 weder in der Schadenmeldung UVG vom 7. April 2008 noch im Fragebogen der Zürich vom 4. Mai 2008 eine unkontrollierte Bewegung, einen Fehltritt oder Ähnliches an. Etwas solches geht auch aus dem ärztlichen Zeugnis des gleichentags konsultierten Dr. med. W.________, vom 19. April 2008 und aus dem Operationsbericht/Austrittsbericht der Spital Y.________ AG vom 1. April 2008 nicht hervor. Vielmehr kam es gemäss den übereinstimmenden Aussagen beim Aufstehen aus der Hocke (mit Kleinkind auf dem Arm) zu einem starken Schmerz und zu einer Knieblockade rechts. Das Auftreten von Schmerzen als solches ist - wie oben dargelegt - kein äusserer schädigender Faktor. Beim Aufstehen aus der Hocke mit einem Kleinkind auf dem Arm handelt es sich sodann - auch gemäss Aussagen der Versicherten selber - um einen gewohnten, mehrmals täglich ausgeübten Bewegungsablauf und somit um eine alltägliche Verrichtung, welche üblicherweise im Rahmen einer physiologisch normalen und psychologisch beherrschten Beanspruchung des Körpers erfolgt und bei welcher grundsätzlich kein besonderes Schädigungspotenzial vorhanden ist. Es fehlt im konkreten Fall sowohl an einer gesteigerten Gefahrenlage wie auch am Hinzutreten eines zur Unkontrollierbarkeit des aus der Hocke Aufstehens führenden Moments. Als solches kann entgegen der Auffassung der Beschwerdeführerin auch das Kleinkind auf dem Arm nicht gelten, gehört doch dies - wie die Vorinstanz dargelegt hat - zur alltäglichen Lebensverrichtung der Versicherten und ist davon auszugehen, dass dieser Bewegungsablauf gerade wegen des Kleinkindes auf dem Arm besonders kontrolliert ausgeführt wird. Der vorliegend zu beurteilende Sachverhalt ist daher eben nicht vergleichbar mit den in BGE 129 V 466 als Beispiele für die in einer körpereigenen Bewegung liegende schädigende äussere Einwirkung erwähnten Fälle des plötzlichen Aufstehens aus der Hocke ( BGE 116 V 145 E. 2c S. 148 mit Hinweisen), des Verschiebens eines schweren Wäschekorbes mit dem linken Fuss, Ausführung einer ruckartigen Bewegung und Verdrehung des rechten Knies (RKUV 2000 Nr. U 385 S. 267, U 228/99), des brüsken Umdrehens beim Kochen Richtung Kühlschrank (Urteil U 5/02 vom 21. Oktober 2002, E. 2) u.Ä., welche Tatbestände wohl körpereigene Bewegungen und alltägliche Lebensverrichtungen darstellen, bei welchen jedoch ein davon unterscheidbares zur Unkontrollierbarkeit der Verrichtung führendes äusseres Moment in Form der Plötzlichkeit, der Brüskheit, der Heftigkeit, des Fehltritts o.Ä. hinzutrat. In diesem Sinne hat das kantonale Gericht zu Recht unterschieden zwischen Aufstehen aus der Hocke (mit Kleinkind im Arm) als kontrolliert ausgeführte alltägliche Lebensverrichtung und plötzlichem unkontrolliertem Aufstehen aus der Hocke (mit Gewicht).</w:t>
      </w:r>
    </w:p>
    <w:p>
      <w:r>
        <w:rPr>
          <w:b/>
        </w:rPr>
        <w:t>E. 3.4</w:t>
      </w:r>
    </w:p>
    <w:p>
      <w:r>
        <w:t>Zusammenfassend lässt sich festhalten, dass unter Berücksichtigung aller Umstände ein in den Bewegungsablauf hineinspielendes äusseres Moment und damit ein ausserhalb des Körpers liegendes, objektiv feststellbares, sinnfälliges, unfallähnliches Ereignis nicht nachgewiesen ist. Die Vorinstanz und die Zürich haben demnach zu Recht Leistungen der Unfallversicherung abgelehnt.</w:t>
      </w:r>
    </w:p>
    <w:p>
      <w:r>
        <w:rPr>
          <w:b/>
        </w:rPr>
        <w:t>E. 4.1</w:t>
      </w:r>
    </w:p>
    <w:p>
      <w:r>
        <w:t>Das Verfahren ist kostenpflichtig. Als unterliegende Partei hat die Beschwerdeführerin die Gerichtskosten zu tragen ( Art. 66 Abs. 1 BGG ).</w:t>
      </w:r>
    </w:p>
    <w:p>
      <w:r>
        <w:rPr>
          <w:b/>
        </w:rPr>
        <w:t>E. 4.2</w:t>
      </w:r>
    </w:p>
    <w:p>
      <w:r>
        <w:t>Nach Art. 68 Abs. 3 BGG wird obsiegenden Behörden oder mit öffentlich-rechtlichen Aufgaben betrauten Organisationen in der Regel keine Parteientschädigung zugesprochen, wenn sie in ihrem amtlichen Wirkungskreis obsiegen. In Anwendung dieser Bestimmung hat das Bundesgericht der SUVA und den privaten UVG-Versicherern sowie - von Sonderfällen abgesehen - den Krankenkassen keine Parteientschädigungen zugesprochen, weil sie als Organisationen mit öffentlich-rechtlichen Aufgaben zu qualifizieren sind. Das gilt grundsätzlich auch für die Trägerinnen oder Versicherer der beruflichen Vorsorge gemäss BVG ( BGE 126 V 143 E. 4a S. 150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