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8C_771/2011 vom 15. November 2012</w:t>
      </w:r>
    </w:p>
    <w:p>
      <w:r>
        <w:t>Bundesgericht, 2012-11-15, FR</w:t>
      </w:r>
    </w:p>
    <w:p>
      <w:r>
        <w:rPr>
          <w:b/>
        </w:rPr>
        <w:t xml:space="preserve">Quelle: </w:t>
      </w:r>
      <w:r>
        <w:t>https://mcp.opencaselaw.ch/entscheid/bger_8C_771_2011</w:t>
      </w:r>
    </w:p>
    <w:p>
      <w:r>
        <w:t>FR: TF 8C_771/2011 du 15 novembre 2012</w:t>
      </w:r>
    </w:p>
    <w:p>
      <w:r>
        <w:t>IT: TF 8C_771/2011 del 15 novembre 2012</w:t>
      </w:r>
    </w:p>
    <w:p>
      <w:pPr>
        <w:pStyle w:val="Heading2"/>
      </w:pPr>
      <w:r>
        <w:t>Erwägungen</w:t>
      </w:r>
    </w:p>
    <w:p>
      <w:r>
        <w:rPr>
          <w:b/>
        </w:rPr>
        <w:t>E. 1</w:t>
      </w:r>
    </w:p>
    <w:p>
      <w:r>
        <w:t>Le litige porte sur le droit du recourant à une rente de l'assurance-accidents, plus particulièrement sur le taux d'invalidité qu'il présente. Dès lors que le jugement entrepris concerne des prestations en espèces, le Tribunal fédéral n'est pas lié par les faits établis par la juridiction cantonale (art. 97 al. 2 et 105 al. 3 LTF).</w:t>
      </w:r>
    </w:p>
    <w:p>
      <w:r>
        <w:rPr>
          <w:b/>
        </w:rPr>
        <w:t>E. 2</w:t>
      </w:r>
    </w:p>
    <w:p>
      <w:r>
        <w:t>Le recourant conteste l'utilisation de la méthode ordinaire de la comparaison des revenus à laquelle a procédé l'intimée pour fixer son degré d'invalidité, évaluation qui a été confirmée par les premiers juges. Il soutient que sa perte de gain doit être déterminée en fonction des activités administratives et de surveillance qu'il peut encore réaliser à ce jour au sein de sa société et qui représentent 40 % de l'activité globale qu'il effectuait avant son accident (méthode dite extraordinaire de l'évaluation de l'invalidité). Il allègue ainsi un taux d'invalidité de 60 %, précisant que sans sa présence dans la société, celle-ci devrait fermer ou être reprise par des tiers. Or, il n'était pas raisonnablement exigible qu'il abandonne son activité d'indépendant alors qu'il avait 52 ans et ne bénéficiait pas d'autre formation que celle de coiffeur. En tout état de cause, il soutient que son invalidité ne saurait être fixée sans que des mesures professionnelles concrètes ne lui aient été proposées et critique le fait qu'on puisse lui opposer, à titre de revenu d'invalide, le montant beaucoup trop élevé des salaires issus des données statistiques.</w:t>
      </w:r>
    </w:p>
    <w:p>
      <w:r>
        <w:rPr>
          <w:b/>
        </w:rPr>
        <w:t>E. 3</w:t>
      </w:r>
    </w:p>
    <w:p>
      <w:r>
        <w:t>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 ATF 113 V 22 consid. 4 p. 28;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 ATF 122 V 377 consid. 2b/cc p. 380; 119 V 250 consid. 3a p. 253; voir également ATF 113 V 22 consid. 4d p. 31, ainsi que PETER OMLIN, Die Invalidität in der obligatorischen Unfallversicherung, Fribourg 1995, p. 185 sv., p. 203 sv.).</w:t>
      </w:r>
    </w:p>
    <w:p>
      <w:r>
        <w:rPr>
          <w:b/>
        </w:rPr>
        <w:t>E. 4.1</w:t>
      </w:r>
    </w:p>
    <w:p>
      <w:r>
        <w:t>A juste titre, le recourant ne remet pas en cause le fait qu'il conserve une capacité de travail résiduelle entière dans une activité adaptée. Il reconnaît par ailleurs lui-même que son activité indépendante ne lui permet de mettre à contribution qu'une faible part (40 %) de sa capacité résiduelle de travail et de gain.</w:t>
      </w:r>
    </w:p>
    <w:p>
      <w:r>
        <w:rPr>
          <w:b/>
        </w:rPr>
        <w:t>E. 4.2</w:t>
      </w:r>
    </w:p>
    <w:p>
      <w:r>
        <w:t>Or, si l'on détermine le revenu que A.________ pourrait obtenir dans l'exercice d'une activité salariée de substitution en se fondant, conformément à ce que permet la jurisprudence ( ATF 135 V 297 consid. 5.2 p. 301), sur les données salariales statistiques, on peut constater que les perspectives de revenu offertes par un changement d'activité sont pratiquement équivalentes au gain qu'il tirait de son activité indépendante sans atteinte à la santé (54'000 fr. selon l'extrait du compte individuel AVS de l'assuré). Le salaire statistique de référence oscille en effet entre 51'989 et 55'047 fr. pour des activités simples et répétitives avec un niveau de qualification 4, une durée de travail hebdomadaire de 41,6 heures, et la prise en compte d'un abattement adéquat de 10 %, voire de 15 % (cf. Enquête suisse sur la structure des salaires 2010, TA1; Annuaire statistique de la Suisse 2012, p. 102, T.3.2. 4.19). Quoi qu'en dise le recourant, ces valeurs sont représentatives des salaires pratiqués dans la réalité même si elles sont le résultat d'une moyenne. Et il n'est pas non plus irréaliste de retenir qu'il existe, parmi la large palette d'activités considérées, un emploi adapté à sa situation sur un marché du travail équilibré. Cette notion est certes théorique et abstraite mais elle est inhérente au système et trouve son fondement à l' art. 16 LPGA (applicable en vertu du renvoi de l' art. 18 LAA ).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d'?uvre (jurisprudence confirmée de manière constante depuis l'arrêt I 198/97 du 7 juillet 1998 consid. 3b et les références, in VSI 1998 p. 293). Il n'y a dès lors pas lieu de renvoyer la cause à la juridiction cantonale pour un complément d'instruction à ce sujet comme le demande le recourant.</w:t>
      </w:r>
    </w:p>
    <w:p>
      <w:r>
        <w:rPr>
          <w:b/>
        </w:rPr>
        <w:t>E. 4.3</w:t>
      </w:r>
    </w:p>
    <w:p>
      <w:r>
        <w:t>Pour le surplus, âgé de 51 ans au moment où la question de l'exigibilité du changement d'activité se pose (2010), l'assuré n'avait de loin pas atteint le seuil à partir duquel le Tribunal fédéral considère généralement qu'il n'existe plus de possibilité réaliste d'exploiter la capacité résiduelle de travail sur un marché du travail supposé équilibré (cf. arrêt 9C_695/2010 du 15 mars 2011 consid. 6.2 et les arrêts cités). Enfin, A.________ ne prétend pas qu'il lui serait impossible de remettre sa société.</w:t>
      </w:r>
    </w:p>
    <w:p>
      <w:r>
        <w:rPr>
          <w:b/>
        </w:rPr>
        <w:t>E. 4.4</w:t>
      </w:r>
    </w:p>
    <w:p>
      <w:r>
        <w:t>Dans ces circonstances, une reconversion professionnelle est exigible et l'intimée était en droit de déterminer le degré d'invalidité de l'assuré en fonction du salaire que celui-ci pourrait obtenir en changeant d'activité (méthode ordinaire de la comparaison des revenus). Il en résulte un taux d'invalidité de 4 % tout au plus (54'000 - 51'989 : 54'000 x 100 = 3,72; voir le consid. 4.2 supra), ce qui se situe en dessous du seuil de 10 % donnant droit à une rente LAA ( art. 18 al. 1 LAA ), si bien que le refus de cette prestation par l'assureur-accidents n'est pas critiquable.</w:t>
      </w:r>
    </w:p>
    <w:p>
      <w:r>
        <w:t>Le recours est mal fondé.</w:t>
      </w:r>
    </w:p>
    <w:p>
      <w:r>
        <w:rPr>
          <w:b/>
        </w:rPr>
        <w:t>E. 5</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