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76/2011 vom 25. Oktober 2011</w:t>
      </w:r>
    </w:p>
    <w:p>
      <w:r>
        <w:t>Bundesgericht, 2011-10-25, FR</w:t>
      </w:r>
    </w:p>
    <w:p>
      <w:r>
        <w:rPr>
          <w:b/>
        </w:rPr>
        <w:t xml:space="preserve">Quelle: </w:t>
      </w:r>
      <w:r>
        <w:t>https://mcp.opencaselaw.ch/entscheid/bger_8C_76_2011</w:t>
      </w:r>
    </w:p>
    <w:p>
      <w:r>
        <w:t>FR: TF 8C 76/2011 du 25 octobre 2011</w:t>
      </w:r>
    </w:p>
    <w:p>
      <w:r>
        <w:t>IT: TF 8C 76/2011 del 25 ottobre 2011</w:t>
      </w:r>
    </w:p>
    <w:p>
      <w:pPr>
        <w:pStyle w:val="Heading2"/>
      </w:pPr>
      <w:r>
        <w:t>Regeste</w:t>
      </w:r>
    </w:p>
    <w:p>
      <w:r>
        <w:t>Droit de la fonction publique | Fonction publique</w:t>
      </w:r>
    </w:p>
    <w:p>
      <w:pPr>
        <w:pStyle w:val="Heading2"/>
      </w:pPr>
      <w:r>
        <w:t>Erwägungen</w:t>
      </w:r>
    </w:p>
    <w:p>
      <w:r>
        <w:rPr>
          <w:b/>
        </w:rPr>
        <w:t>E. 1</w:t>
      </w:r>
    </w:p>
    <w:p>
      <w:r>
        <w:t>La juridiction cantonale a déclaré irrecevable les demandes d'intervention successives présentées devant elle par la caisse de chômage, au motif que l'institution de l'intervention n'existait pas en procédure administrative. Dans la mesure où elle a été tenue à l'écart de la procédure cantonale et qu'elle n'a pas recouru contre le jugement cantonal - qui lui a pourtant été notifié - la caisse ne saurait prendre des conclusions devant le Tribunal fédéral (cf. art. 89 al. 1 let. a LTF ). Si tant est qu'elles ne soient pas dépourvues d'objet, vu le sort à réserver au présent recours, ses conclusions sont irrecevables.</w:t>
      </w:r>
    </w:p>
    <w:p>
      <w:r>
        <w:rPr>
          <w:b/>
        </w:rPr>
        <w:t>E. 2</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Le litige soumis à l'autorité cantonale ne porte pas sur le versement d'une somme d'argent mais sur l'annulation d'une décision de résiliation. Dans cette mesure, il s'agit d'une contestation pécuniaire et le motif d'exclusion de l' art. 83 let . g LTF n'entre pas en considération (voir par exemple les arrêts 8C_907/2010 du 8 juillet 2011 consid. 1 et 8C_170/2009 du 25 août 2009 consid. 1.1). Par ailleurs, la valeur litigieuse dépasse le seuil de 15'000 fr. requis en matière de rapports de travail de droit public ( art. 85 al. 1 let. b LTF ).</w:t>
      </w:r>
    </w:p>
    <w:p>
      <w:r>
        <w:rPr>
          <w:b/>
        </w:rPr>
        <w:t>E. 3</w:t>
      </w:r>
    </w:p>
    <w:p>
      <w:r>
        <w:t>Pour le surplus, interjeté en temps utile ( art. 100 al. 1 LTF ) contre une décision finale ( art. 90 LTF ) prise en dernière instance cantonale ( art. 86 al. 1 let . d LTF), le recours en matière de droit public est recevable.</w:t>
      </w:r>
    </w:p>
    <w:p>
      <w:r>
        <w:rPr>
          <w:b/>
        </w:rPr>
        <w:t>E. 4.1</w:t>
      </w:r>
    </w:p>
    <w:p>
      <w:r>
        <w:t>La recourante invoque la nullité absolue de la procédure ayant mené à sa révocation par le Conseil d'Etat en raison de l'incompétence matérielle de ce dernier. Se fondant sur l'art. 29 al. 1 de la loi générale relative au personnel de l'administration cantonale, du pouvoir judiciaire et des établissements publics médicaux (LPAC; RSG B 5 05) - selon lequel lorsque les faits reprochés à un membre du personnel relèvent également d'une autre autorité disciplinaire administrative, celle-ci est saisie préalablement -, elle soutient que le Conseil d'Etat n'était pas compétent pour ordonner une enquête administrative et adopter une mesure disciplinaire à son encontre, au motif que la CSO avait été saisie en premier et qu'elle n'avait pas encore statué. C'est dès lors à la CSO, et non au Conseil d'Etat qu'il aurait appartenu de prendre une éventuelle mesure disciplinaire. Selon elle, l'arrêté du Conseil d'Etat du 24 mars 2010 ordonnant l'ouverture d'une enquête administrative et sa décision du 25 août 2010 par laquelle il l'a révoquée seraient par conséquent nuls.</w:t>
      </w:r>
    </w:p>
    <w:p>
      <w:r>
        <w:rPr>
          <w:b/>
        </w:rPr>
        <w:t>E. 4.2</w:t>
      </w:r>
    </w:p>
    <w:p>
      <w:r>
        <w:t>La recourante soulève ici une argumentation juridique qu'elle n'a pas présentée devant l'autorité cantonale. Aucun fait nouveau ni preuve nouvelle ne peut être présenté à moins de résulter de la décision de l'autorité précédente ( art. 99 al. 1 LTF ). Toute conclusion nouvelle est irrecevable ( art. 99 al. 2 LTF ). A contrario, cette disposition n'interdit pas une argumentation juridique nouvelle, pour autant que celle-ci repose sur les constatations de fait de la décision attaquée ( ATF 134 III 643 consid. 5.3.2 p. 651; arrêt 4A_28/2007 du 30 mai 2007 consid. 1.3, non publié in ATF 133 III 421 ). En l'espèce, la question de savoir si l'argumentation de la recourante reste ou non dans les limites de l'état de fait ressortant de l'arrêt attaqué et, partant, si elle est recevable, peut rester ouverte car elle doit de toute façon être rejetée.</w:t>
      </w:r>
    </w:p>
    <w:p>
      <w:r>
        <w:rPr>
          <w:b/>
        </w:rPr>
        <w:t>E. 5</w:t>
      </w:r>
    </w:p>
    <w:p>
      <w:r>
        <w:t>Il est généralement admis en doctrine qu'à côté de la destitution comme sanction disciplinaire au sens de l'art. 14 al. 2 ch. 4 de la loi fédérale sur la poursuite pour dettes et la faillite (LP; RS 281.1) prononcée par l'autorité cantonale de surveillance, l'autorité de nomination peut relever de leurs fonctions ou renvoyer pour justes motifs les agents publics nommés de façon permanente pour des motifs prévus par le droit cantonal (PIERRE-ROBERT GILLIÉRON, Commentaire de la loi fédérale sur la poursuite pour dettes et la faillite, n° 33 ad art. 14; JAEGER/WALDER/KULL/KOTTMANN, Bundesgesetz über Schuldbetreibung und Konkurs, 4ème éd., n° 14 ad art. 14; FRANK EMMEL, in Basler Kommentar, Bundesgesetz über Schuldbetreibung und Konkurs I, n° 11b ad art. 14). L' art. 14 al. 2 LP n'empêche par conséquent pas l'autorité de nomination d'un fonctionnaire cantonal d'ouvrir une procédure disciplinaire parallèlement à celle diligentée par l'autorité de surveillance. Dans le canton de Genève, cette compétence du pouvoir exécutif est du reste expressément réservée par l'art. 10 al. 2 de la loi d'application de la loi fédérale sur la poursuite pour dettes et la faillite (LaLP/GE; RSG E 3 60). Dans un arrêt 5A_112/2009 du 7 mai 2009 concernant la destitution d'un employé de l'office des poursuites, le Tribunal fédéral a précisé qu'il n'apparaissait nullement insoutenable de prétendre que la compétence de la Commission de surveillance des offices des poursuites et des faillites du canton de Genève se limitait à la sanction des fautes commises par les fonctionnaires et employés des offices des poursuites et des faillites dans l'exécution des dispositions imposées par la LP et que le pouvoir exécutif disposait, de son côté, de l'exercice du pouvoir disciplinaire pour les manquements au statut proprement dit des fonctionnaires et employés de l'Etat nommés par lui. Or, en l'espèce, les premiers juges ont constaté que le traitement de faveur réservé par la recourante aux membres de la famille A.________, lequel n'était pas contesté par l'intéressée, contrevenait non seulement aux directives de l'OPF mais également aux devoirs du personnel de l'Etat de Genève, notamment aux art. 20 ss du Règlement d'application de la loi générale relative au personnel de l'administration cantonale, du pouvoir judiciaire et des établissements publics médicaux (RPAC; RSG B 5 05.01). Compte tenu de ce qui précède, il n'est pas insoutenable de considérer que l'art. 29 al. 1 LPAC n'empêchait pas le Conseil d'Etat d'ordonner une enquête administrative et de prononcer une sanction disciplinaire (révocation) à l'encontre de la recourante en raison de manquements de cette dernière aux devoirs du personnel, alors qu'une procédure dirigée par l'autorité de surveillance était toujours pendante.</w:t>
      </w:r>
    </w:p>
    <w:p>
      <w:r>
        <w:rPr>
          <w:b/>
        </w:rPr>
        <w:t>E. 6</w:t>
      </w:r>
    </w:p>
    <w:p>
      <w:r>
        <w:t>Il s'ensuit que le recours est mal fondé. Vu l'issue du litige, la recourante supportera les frais judiciaires ( art. 66 al. 1 LTF ). L'intimé, qui agit dans l'exercice de ses attributions officielles, n'a pas droit à des dépens ( art. 68 al. 3 LTF ; ATF 134 II 117 consid. 7 p. 118 s.).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