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76/2009 vom 19. Mai 2009</w:t>
      </w:r>
    </w:p>
    <w:p>
      <w:r>
        <w:t>Bundesgericht, 2009-05-19, DE</w:t>
      </w:r>
    </w:p>
    <w:p>
      <w:r>
        <w:rPr>
          <w:b/>
        </w:rPr>
        <w:t xml:space="preserve">Quelle: </w:t>
      </w:r>
      <w:r>
        <w:t>https://mcp.opencaselaw.ch/entscheid/bger_8C_76_2009</w:t>
      </w:r>
    </w:p>
    <w:p>
      <w:r>
        <w:t>FR: TF 8C 76/2009 du 19 mai 2009</w:t>
      </w:r>
    </w:p>
    <w:p>
      <w:r>
        <w:t>IT: TF 8C 76/2009 del 19 maggio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welche rechtsprechungsgemäss die zeitliche Grenze der richterlichen Überprüfungsbefugnis bildet ( BGE 132 V 215 E. 3.1.1 S. 220 mit Hinweisen) - nach den neuen Normen zu prüfen ( BGE 130 V 445 E. 1 S. 446 f. [mit Hinweis u.a. auf BGE 130 V 329 ]). Dies fällt materiellrechtlich indessen nicht ins Gewicht, weil die 5. IV-Revision hinsichtlich der Invaliditätsbemessung keine substanziellen Änderungen gegenüber der bis 31. Dezember 2007 gültig gewesenen Rechtslage gebracht hat, sodass die zur altrechtlichen Regelung ergangene Rechtsprechung weiterhin massgebend ist.</w:t>
      </w:r>
    </w:p>
    <w:p>
      <w:r>
        <w:rPr>
          <w:b/>
        </w:rPr>
        <w:t>E. 3</w:t>
      </w:r>
    </w:p>
    <w:p>
      <w:r>
        <w:t>Die Vorinstanz hat die Bestimmungen über den Umfang des Rentenanspruchs ( Art. 28 Abs. 1 IVG [in der bis Ende 2007 gültig gewesenen Fassung] und Art. 28 Abs. 2 IVG [in der seit 1. Januar 2008 in Kraft stehenden Fassung]), die Bemessung des Invaliditätsgrades nach der Einkommensvergleichsmethode ( Art. 16 ATSG ; SR 830.1) sowie die Grundsätze zur Bedeutung ärztlicher Auskünfte für die Belange der Invaliditätsschätzung ( BGE 132 V 93 E. 4 S. 99 mit Hinweisen) und zum Beweiswert ärztlicher Berichte und Gutachten ( BGE 125 V 351 E. 3a S. 352) zutreffend wiedergegeben, sodass darauf verwiesen wird.</w:t>
      </w:r>
    </w:p>
    <w:p>
      <w:r>
        <w:rPr>
          <w:b/>
        </w:rPr>
        <w:t>E. 4</w:t>
      </w:r>
    </w:p>
    <w:p>
      <w:r>
        <w:t>Die Rüge des Beschwerdeführers, die vorinstanzliche Verneinung eines Gesundheitsschadens mit (invalidisierenden) Auswirkungen auf die Arbeitsfähigkeit, da ihm eine vollzeitliche Ausübung seiner bisherigen Tätigkeit als Carrosseriespengler mit einer gesundheitsbedingten Leistungseinbusse von 10 % unter Vermeidung des Hebens von Lasten über 30 kg und längerer vornübergebeugter Arbeitshaltung zumutbar sei, halte unter dem Blickwinkel von Art. 105 Abs. 2 BGG nicht stand, ist offensichtlich unbegründet. Das kantonale Gericht hat die medizinische Aktenlage vollständig und korrekt dargelegt und namentlich mit Blick auf die beweisrechtlich bedeutsame Unterscheidung von Behandlungs-/Therapieauftrag einerseits und Begutachtungsauftrag andererseits (vgl. BGE 124 I 170 E. 4 S. 175; s. auch I 701/05 vom 5. Januar 2007, E. 2 in fine, mit zahlreichen Hinweisen) widerspruchsfrei begründet, weshalb dem pluridisziplinären MEDAS-Gutachten vom 5. Oktober 2007 im Rahmen der freien Beweiswürdigung ( Art. 61 lit. c ATSG ) ausschlaggebendes Gewicht beizumessen und auf die dortige Einschätzung der Restarbeitsfähigkeit abzustellen ist. Daran vermögen auch die neu eingereichten und daher ohnehin unzulässigen ( Art. 99 Abs. 1 BGG ) Berichte des Hausarztes Dr. med. S.________ vom 20. Januar 2009, und des behandelnden Psychiaters Dr. med. E.________ vom 20. Januar 2009, nichts zu ändern, zumal sie nicht den massgeblichen Zeitraum ( BGE 116 V 246 E. 1a S. 248) bis zum Erlass der Verfügung vom 28. Januar 2008 betreffen. Demzufolge bestätigte die Vorinstanz die Abweisung des Rentenbegehrens zu Recht.</w:t>
      </w:r>
    </w:p>
    <w:p>
      <w:r>
        <w:rPr>
          <w:b/>
        </w:rPr>
        <w:t>E. 5</w:t>
      </w:r>
    </w:p>
    <w:p>
      <w:r>
        <w:t>Die offensichtlich unbegründete Beschwerde wird im Verfahren nach Art. 109 Abs. 2 lit. a BGG und ohne Durchführung eines Schriftenwechsels erledigt ( Art. 102 Abs. 1 BGG ). Die zu erhebenden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