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8C_768/2019 vom 15. April 2020</w:t>
      </w:r>
    </w:p>
    <w:p>
      <w:r>
        <w:t>Bundesgericht, 2020-04-15, DE</w:t>
      </w:r>
    </w:p>
    <w:p>
      <w:r>
        <w:rPr>
          <w:b/>
        </w:rPr>
        <w:t xml:space="preserve">Quelle: </w:t>
      </w:r>
      <w:r>
        <w:t>https://mcp.opencaselaw.ch/entscheid/bger_8C_768_2019</w:t>
      </w:r>
    </w:p>
    <w:p>
      <w:r>
        <w:t>FR: TF 8C_768/2019 du 15 avril 2020</w:t>
      </w:r>
    </w:p>
    <w:p>
      <w:r>
        <w:t>IT: TF 8C_768/2019 del 15 aprile 2020</w:t>
      </w:r>
    </w:p>
    <w:p>
      <w:pPr>
        <w:pStyle w:val="Heading2"/>
      </w:pPr>
      <w:r>
        <w:t>Erwägungen</w:t>
      </w:r>
    </w:p>
    <w:p>
      <w:r>
        <w:rPr>
          <w:b/>
        </w:rPr>
        <w:t>E. 1</w:t>
      </w:r>
    </w:p>
    <w:p>
      <w:r>
        <w:t>Das Bundesgericht prüft seine Zuständigkeit und die (weiteren) Eintretensvoraussetzungen von Amtes wegen und mit freier Kognition ( BGE 139 V 42 E. 1 S. 44 mit Hinweisen). Dies ändert freilich nichts daran, dass der Beschwerdeführer nach Art. 42 Abs. 1 BGG gehalten ist, die Erfüllung der Eintretensvoraussetzungen darzutun, wenn diese nicht offensichtlich gegeben sind (vgl. BGE 141 IV 289 E. 1.3 S. 292 mit weiteren Hinweisen).</w:t>
      </w:r>
    </w:p>
    <w:p>
      <w:r>
        <w:rPr>
          <w:b/>
        </w:rPr>
        <w:t>E. 2</w:t>
      </w:r>
    </w:p>
    <w:p>
      <w:r>
        <w:t>Kantonale Erlasse können unmittelbar beim Bundesgericht angefochten werden, sofern - wie dies hier der Fall ist - kein kantonales Rechtsmittel zur Verfügung steht ( Art. 82 lit. b und Art. 87 Abs. 1 BGG ). Da der angefochtene Erlass nicht einem kantonalen Referendum unterstand, ist Art. 20 Abs. 3 BGG nicht anwendbar, so dass die vorliegende Beschwerde durch einen Spruchkörper von drei Richtern zu beurteilen ist ( Art. 20 Abs. 1 BGG ).</w:t>
      </w:r>
    </w:p>
    <w:p>
      <w:r>
        <w:rPr>
          <w:b/>
        </w:rPr>
        <w:t>E. 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 136 I 17 E. 2.1 S. 21 ; 133 I 206 E. 2.1 und 2.3 S. 210 f.).</w:t>
      </w:r>
    </w:p>
    <w:p>
      <w:r>
        <w:rPr>
          <w:b/>
        </w:rPr>
        <w:t>E. 4</w:t>
      </w:r>
    </w:p>
    <w:p>
      <w:r>
        <w:t>Der Beschwerdeführer ist seit über 10 Jahren als hauptamtlicher Richter am Gericht B.________ tätig und steht im 49. Altersjahr. Nach dem bis 31. Dezember 2019 geltenden Lohnsystem erzielte er nach eigenen Angaben im Jahre 2019 ein Gehalt von Fr. 184'755.-; in Abhängigkeit von Erfahrung und Leistung wäre eine weitere Lohnentwicklung bis zu einer maximalen Jahresbesoldung von Fr. 216'918.- möglich gewesen. Durch die angefochtene Änderung der Personalverordnung steigt sein Jahresgehalt auf deren Inkrafttreten hin auf Fr. 189'504.65; eine weitere Lohnentwicklung ist ausgeschlossen.</w:t>
      </w:r>
    </w:p>
    <w:p>
      <w:r>
        <w:rPr>
          <w:b/>
        </w:rPr>
        <w:t>E. 5</w:t>
      </w:r>
    </w:p>
    <w:p>
      <w:r>
        <w:t>Die angefochtene Änderung der Personalverordnung umfasst zwei Aspekte, die getrennt voneinander betrachtet werden müssen: Zum einen wird das Maximalgehalt, welches Richterinnen und Richter erhalten können, gesenkt (nArt. 78c PV SG), zum andern werden die Bedingungen, unter denen das Maximalgehalt ausbezahlt wird und die Lohnentwicklung zu diesem geändert (nArt. 78d PV SG).</w:t>
      </w:r>
    </w:p>
    <w:p>
      <w:r>
        <w:rPr>
          <w:b/>
        </w:rPr>
        <w:t>E. 5.1</w:t>
      </w:r>
    </w:p>
    <w:p>
      <w:r>
        <w:t>Bezüglich der Senkung des Maximalgehaltes wäre der Beschwerdeführer offenkundig virtuell betroffen und hätte ein schutzwürdiges Interesse an der Änderung der angefochtenen Verordnung. Der Beschwerdeführer macht zwar geltend, der angefochtene Erlass verstosse gegen den in Art. 55 Abs. 1 lit. a KV SG niedergelegten Grundsatz der Gewaltenteildung und gegen die Rechtsgleichheit ( Art. 8 Abs. 1 BV ). In seiner Begründung bezieht er sich aber ausschliesslich auf die Frage der Zulässigkeit eines Verzichts auf eine lohnrelevante Leistungsbeurteilung. Demgegenüber legt er nicht dar, inwiefern die Senkung des Maximalgehaltes gegen Bundesrecht oder gegen kantonales Verfassungsrecht verstossen sollte, so dass auf die Beschwerde bezüglich nArt. 78c PV SG mangels hinreichender Begründung nicht einzutreten ist ( Art. 42 Abs. 2 BGG ).</w:t>
      </w:r>
    </w:p>
    <w:p>
      <w:r>
        <w:rPr>
          <w:b/>
        </w:rPr>
        <w:t>E. 5.2</w:t>
      </w:r>
    </w:p>
    <w:p>
      <w:r>
        <w:t>Wie erwähnt, enthält die Beschwerde längere Ausführungen dazu, inwiefern die geänderten Bedingungen für den Bezug des Maximalgehaltes und dabei insbesondere der Verzicht auf eine lohnrelevante Leistungsbeurteilung (nArt. 78d PV SG) Recht im Sinne von Art. 95 BGG verletzt. Wie der Beschwerdeführer indessen selber einräumt, führt die neue Regelung dazu, dass ihm mit deren Inkrafttreten sofort das neue Maximalgehalt ausbezahlt wird. Inwiefern ihm dies zum Nachteil gereichen sollte, ist nicht nachvollziehbar: Der Beschwerdeführer wird durch den neuen Art. 78d PV SG nicht belastet, sondern begünstigt. Somit ist bei ihm kein schutzwürdiges Interesse an der Aufhebung dieses Artikels ersichtlich. Ein allfälliges vexatorisches Interesse, mithin ein Interesse des Beschwerdeführers daran, mehr zu verdienen als seine von ihm als weniger fähig angesehenen Kollegen, wäre nicht schutzwürdig im Sinne von Art. 89 Abs. 1 lit. c BGG . Somit ist auch diesbezüglich auf die Beschwerde nicht einzutreten.</w:t>
      </w:r>
    </w:p>
    <w:p>
      <w:r>
        <w:rPr>
          <w:b/>
        </w:rPr>
        <w:t>E. 6</w:t>
      </w:r>
    </w:p>
    <w:p>
      <w:r>
        <w:t>Dem Verfahrensausgang entsprechend sind die Gerichtskosten dem unterliegenden Beschwerdeführer aufzuerlegen ( Art. 66 Abs. 1 Satz 1 BGG ). Mit diesem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