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8C_768/2008 vom 3. Juni 2009</w:t>
      </w:r>
    </w:p>
    <w:p>
      <w:r>
        <w:t>Bundesgericht, 2009-06-03, DE</w:t>
      </w:r>
    </w:p>
    <w:p>
      <w:r>
        <w:rPr>
          <w:b/>
        </w:rPr>
        <w:t xml:space="preserve">Quelle: </w:t>
      </w:r>
      <w:r>
        <w:t>https://mcp.opencaselaw.ch/entscheid/bger_8C_768_2008</w:t>
      </w:r>
    </w:p>
    <w:p>
      <w:r>
        <w:t>FR: TF 8C_768/2008 du 3 juin 2009</w:t>
      </w:r>
    </w:p>
    <w:p>
      <w:r>
        <w:t>IT: TF 8C_768/2008 del 3 giugno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einen Anspruch auf Leistungen der obligatorischen Unfallversicherung aus dem Velounfall vom 10. Juli 2003 über den 31. Oktober 2007 hinaus zu Recht verneint hat.</w:t>
      </w:r>
    </w:p>
    <w:p>
      <w:r>
        <w:t>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zunächst nach Würdigung der medizinischen Akten, insbesondere des Gutachtens des Instituts Z.________ vom 10. September 2007 - dessen Erkenntnisse mit denjenigen des Prof Dr. med. E.________ von der Klinik Y.________ übereinstimmen - erwogen, dass keine organisch objektiv ausgewiesene Unfallfolge vorliege, welche die persistierenden Beschwerden zu erklären vermöchte. Gleichzeitig hielt es fest, dass nach Angaben der Gutachter zwar eine Weiterführung der Psychotherapie angezeigt, von einer namhaften Besserung des Gesundheitszustandes im Sinne der sozialen Unfallversicherung aber nicht auszugehen sei (vgl. BGE 134 V 109 E. 4.1 S. 114 und 4.3 S. 115). Weiter ist unbestritten, dass die Beschwerdeführerin beim Unfall eine Distorsion der HWS und eine Gehirnerschütterung erlitten und unmittelbar nach dem Ereignis über Kopf- und Nackenschmerzen geklagt hat. Später sind Schwindel, Wahrnehmungs- und Konzentrationsstörungen aufgetreten, also Elemente des sogenannt typischen Beschwerdebildes nach den erwähnten Verletzungen. Obwohl nach Erkenntnis des neurologischen Gutachters von Anfang an auch eine ausgeprägte psychische Fehlentwicklung eingetreten ist, hat der begutachtende Psychiater keine entsprechende Diagnose gestellt. Die physischen und die psychischen Beeinträchtigungen sind auf den Unfall vom 10. Juli 2003 zurückzuführen. Der natürliche Kausalzusammenhang zwischen den gesundheitlichen Leiden und dem Unfallereignis ist daher zu bejahen.</w:t>
      </w:r>
    </w:p>
    <w:p>
      <w:r>
        <w:rPr>
          <w:b/>
        </w:rPr>
        <w:t>E. 4</w:t>
      </w:r>
    </w:p>
    <w:p>
      <w:r>
        <w:t>Fehlt es nach dem Gesagten an einer organisch klar ausgewiesenen Unfallfolge, hat eine besondere Adäquanzprüfung zu erfolgen (E. 2 hievor). Das kantonale Gericht hat diese nach der in BGE 134 V 109 präzisierten Rechtsprechung vorgenommen. Daran lässt sich nichts aussetzen.</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(BGE 134 109 E. 10.1 S. 126 f. mit Hinweisen).</w:t>
      </w:r>
    </w:p>
    <w:p>
      <w:r>
        <w:t>Massgebend für die Beurteilung der Unfallschwere ist der augenfällige Geschehensablauf mit den sich dabei entwickelnden Kräften (SVR 2008 UV Nr. 8 S. 26, U 2, 3 und 4/07, E. 5.2 und 5.3.1; Urteil 8C_986/2008 vom 23. März 2009, E. 4.2). Das kantonale Gericht hat den Unfall vom 10. Juli 2003, bei welchem die Rad fahrende Beschwerdeführerin von einem überholenden Personenwagen an der Lenkstange touchiert wurde, wobei sie stürzte und den mit einem Helm geschützten Kopf aufschlug, im mittleren Bereich an der Grenze zu den leichten Ereignissen eingeordnet. Davon kann grundsätzlich ausgegangen werden. Von den weiteren massgeblichen Kriterien müssten für eine Bejahung des adäquaten Kausalzusammenhanges daher entweder ein einzelnes in besonders ausgeprägter Weise oder aber mehrere in gehäufter oder auffallender Weise gegeben sein ( BGE 134 V 109 E. 10.1 S. 126 f., 117 V 359 E. 6 S. 367 f.).</w:t>
      </w:r>
    </w:p>
    <w:p>
      <w:r>
        <w:rPr>
          <w:b/>
        </w:rPr>
        <w:t>E. 4.2.1</w:t>
      </w:r>
    </w:p>
    <w:p>
      <w:r>
        <w:t>Das kantonale Gericht hat dasjenige der erheblichen Arbeitsunfähigkeit trotz ausgewiesener Anstrengungen als teilweise gegeben erachtet, die übrigen verneint. Zu Recht unbestritten sind die beiden (durch BGE 134 V 109 nicht geänderten) Kriterien der Schwere oder besonderen Art der erlittenen Verletzungen sowie der ärztlichen Fehlbehandlung, welche die Unfallfolgen erheblich verschlimmert.</w:t>
      </w:r>
    </w:p>
    <w:p>
      <w:r>
        <w:t>Die Beschwerdeführerin macht zusätzlich geltend, es sei durch den seitlichen Sturz mit Kopfanprall das Kriterium der Schwere oder besonderen Art der erlittenen Verletzungen erfüllt. Zudem erachtet sie dasjenige einer fortgesetzt spezifischen und belastenden ärztlichen Behandlung als in ausgeprägter Weise vorliegend und auch jenes der erheblichen Beschwerden trotz ausgewiesener Anstrengungen als gegeben.</w:t>
      </w:r>
    </w:p>
    <w:p>
      <w:r>
        <w:rPr>
          <w:b/>
        </w:rPr>
        <w:t>E. 4.2.2</w:t>
      </w:r>
    </w:p>
    <w:p>
      <w:r>
        <w:t>Entgegen der von der Beschwerdeführerin vertretenen Auffassung hat sie sich wegen des seitlichen Sturzes vom Fahrrad mit Kopfanprall nicht eine "besondere Art" einer HWS-Distorsion zugezogen. Auch der Umstand, dass sie vermutlich zusätzlich eine leichte commotio cerebri erlitt, ohne dass sie das Bewusstsein verloren hätte, ändert nichts am Umstand, dass die Unfallverletzungen weder ausserordentlich noch besonders schwer waren. Entsprechende Feststellungen fehlen denn auch in den verschiedenen ärztlichen Zeugnissen.</w:t>
      </w:r>
    </w:p>
    <w:p>
      <w:r>
        <w:rPr>
          <w:b/>
        </w:rPr>
        <w:t>E. 4.2.3</w:t>
      </w:r>
    </w:p>
    <w:p>
      <w:r>
        <w:t>Auch das Kriterium der fortgesetzt spezifischen, belastenden ärztlichen Behandlung kann als höchstens in "einfacher" und nicht in "besonders ausgeprägter Weise" erfüllt erachtet werden. Die im Wesentlichen erfolgten ambulanten Physiotherapien, Craniosacraltherapien und Heileurythmie, später Psychotherapie und neuropsychologische Therapie, nebst ärztlichen Verlaufskontrollen, genügt ebensowenig wie ein einmaliger stationärer Rehabilitationsaufenthalt während etwas mehr als einem Monat. Die diversen Therapien erfolgten ohne zusätzliche Medikation. Sie mögen die Beschwerdeführerin zwar in zeitlicher Hinsicht erheblich beansprucht haben. Andererseits ist nicht ersichtlich, dass sie in ausgeprägter Weise belastend waren.</w:t>
      </w:r>
    </w:p>
    <w:p>
      <w:r>
        <w:rPr>
          <w:b/>
        </w:rPr>
        <w:t>E. 4.2.4</w:t>
      </w:r>
    </w:p>
    <w:p>
      <w:r>
        <w:t>Es liegen auch kein schwieriger Heilungsverlauf oder erhebliche Komplikationen im Sinne des entsprechenden Kriteriums vor. Es müssten hiefür besondere Gründe, welche die Heilung beeinträchtigt haben, gegeben sein (vgl. auch zum Folgenden: SVR 2007 UV Nr. 25 S. 81, U 479/05, E. 8.5; Urteil 8C_803/2007 vom 3. September 2008, E. 3.4.1). Solche Gründe sind aus den Akten nicht ersichtlich. Dass Beschwerden trotz medizinischer Behandlung anhalten, genügt nicht (Urteile 8C_691/2007 vom 1. September 2008, E. 2.3.3, und 8C_57/2008 vom 16. Mai 2008, E. 9.6.1 mit Hinweis). Diese waren denn bei der Versicherten auch nicht sehr ausgeprägt. Sie klagte schon bald nach dem Unfall nicht mehr über Schmerzen - sie konnte beispielsweise von Beginn weg auf eine Schmerzmedikation verzichten -, sondern nur noch über neuropsychologische Defizite, die aber auf die entsprechende Behandlung sehr gut ansprachen, sodass im Zeitpunkt des Fallabschlusses kaum mehr entsprechende Beeinträchtigungen feststellbar waren. Damit ist auch dieses Kriterium nicht erfüllt.</w:t>
      </w:r>
    </w:p>
    <w:p>
      <w:r>
        <w:rPr>
          <w:b/>
        </w:rPr>
        <w:t>E. 4.2.5</w:t>
      </w:r>
    </w:p>
    <w:p>
      <w:r>
        <w:t>Ob das Kriterium der erheblichen Arbeitsunfähigkeit trotz ausgewiesener Anstrengung als erfüllt gilt, kann vorliegend offen bleiben, da es - wenn überhaupt - nicht ausgeprägt vorliegt. Dies, weil im Zeitpunkt des Fallabschlusses gemäss überzeugendem Gutachten vom 10. September 2007 nur noch eine leichte Leistungseinbusse in der angestammten Tätigkeit als Hotelliere in Form einer Verlangsamung oder dem Bedürfnis von vermehrten Pausen ausgewiesen war.</w:t>
      </w:r>
    </w:p>
    <w:p>
      <w:r>
        <w:rPr>
          <w:b/>
        </w:rPr>
        <w:t>E. 4.3</w:t>
      </w:r>
    </w:p>
    <w:p>
      <w:r>
        <w:t>Die adäquanzrelevanten Kriterien liegen somit weder gehäuft vor, noch ist eines besonders ausgeprägt gegeben. Es fehlt daher an einem rechtserheblichen Zusammenhang zwischen dem Unfall vom 10. Juli 2003 und den noch bestehenden leichten Beeinträchtigungen. Das kantonale Gericht hat eine Leistungspflicht der AXA hiefür demnach zu Recht verneint.</w:t>
      </w:r>
    </w:p>
    <w:p>
      <w:r>
        <w:rPr>
          <w:b/>
        </w:rPr>
        <w:t>E. 5</w:t>
      </w:r>
    </w:p>
    <w:p>
      <w:r>
        <w:t>Die Gerichtskosten werden der unterliegenden Beschwerdeführerin auferlegt ( Art. 66 Abs. 1 BGG ). Gleichzeitig wird ihr die unentgeltliche Rechtspflege (Prozessführung und Verbeiständung; Art. 64 BGG ) gewährt, da die hiefür erforderlichen Voraussetzungen (Bedürftigkeit, Nichtaussichtslosigkeit und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