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8C_767/2017 vom 31. Oktober 2018</w:t>
      </w:r>
    </w:p>
    <w:p>
      <w:r>
        <w:t>Bundesgericht, 2018-10-31, FR</w:t>
      </w:r>
    </w:p>
    <w:p>
      <w:r>
        <w:rPr>
          <w:b/>
        </w:rPr>
        <w:t xml:space="preserve">Quelle: </w:t>
      </w:r>
      <w:r>
        <w:t>https://mcp.opencaselaw.ch/entscheid/bger_8C_767_2017</w:t>
      </w:r>
    </w:p>
    <w:p>
      <w:r>
        <w:t>FR: TF 8C_767/2017 du 31 octobre 2018</w:t>
      </w:r>
    </w:p>
    <w:p>
      <w:r>
        <w:t>IT: TF 8C_767/2017 del 31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26 al. 2 OACI (RS 837.02), dans sa teneur en vigueur dès le 1</w:t>
      </w:r>
    </w:p>
    <w:p>
      <w:r>
        <w:t>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t>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(cf. aussi arrêt 8C_425/2014 du 12 août 2014 consid. 3).</w:t>
      </w:r>
    </w:p>
    <w:p>
      <w:r>
        <w:rPr>
          <w:b/>
        </w:rPr>
        <w:t>E. 3.1</w:t>
      </w:r>
    </w:p>
    <w:p>
      <w:r>
        <w:t>Les premiers juges ont considéré que l'assurée n'avait pas remis la liste de ses recherches d'emploi en temps utile et que, par conséquent, l'administration était fondée à prononcer une sanction. S'écartant du barème du SECO, la cour cantonale en a réduit la durée à deux jours.</w:t>
      </w:r>
    </w:p>
    <w:p>
      <w:r>
        <w:rPr>
          <w:b/>
        </w:rPr>
        <w:t>E. 3.2</w:t>
      </w:r>
    </w:p>
    <w:p>
      <w:r>
        <w:t>Le recourant reproche à la juridiction précédente d'avoir abusé de son pouvoir d'appréciation. Selon lui, les premiers juges ont réduit la durée de la suspension du droit à l'indemnité en se fondant sur des considérations qui manquent de pertinence et sont étrangères au but visé par les art. 17 al. 1 LACI et 26 al. 2 OACI.</w:t>
      </w:r>
    </w:p>
    <w:p>
      <w:r>
        <w:rPr>
          <w:b/>
        </w:rPr>
        <w:t>E. 4.1</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w:t>
      </w:r>
    </w:p>
    <w:p>
      <w:r>
        <w:rPr>
          <w:b/>
        </w:rPr>
        <w:t>E. 4.2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 p. 73; arrêt 8C_601/2012 du 26 février 2013 consid. 4.2, non publié in ATF 139 V 164 et les références).</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 ATF 137 V 71 consid. 5.2 p. 73).</w:t>
      </w:r>
    </w:p>
    <w:p>
      <w:r>
        <w:rPr>
          <w:b/>
        </w:rPr>
        <w:t>E. 5</w:t>
      </w:r>
    </w:p>
    <w:p>
      <w:r>
        <w:t>En l'espèce, la juridiction cantonale a motivé la réduction de la quotité de la suspension du droit à l'indemnité par le fait que le comportement de l'assurée était irréprochable depuis son inscription au chômage. La qualité et la quantité de ses recherches d'emploi démontraient qu'elle avait tout mis en oeuvre pour trouver un travail convenable; elle avait d'ailleurs retrouvé un emploi à 50 % grâce à ses recherches. Par ailleurs, l'intimée avait remis immédiatement le formulaire litigieux à l'ORP au moment où elle avait pris connaissance du manquement qui lui était reproché.</w:t>
      </w:r>
    </w:p>
    <w:p>
      <w:r>
        <w:t>En l'occurrence, en fixant à cinq jours la suspension du droit à l'indemnité de chômage, l'administration a tenu compte du comportement de l'assurée dès lors qu'elle lui a infligé la sanction minimale prévue par le barème du SECO pour les administrés n'ayant pas effectué de recherches pendant la période de contrôle ou ayant remis leurs recherches d'emploi trop tard, pour la première fois. Or, les circonstances du cas d'espèce ne présentent pas de singularités qui justifieraient de s'écarter de ces barèmes, lesquels tendent précisément à garantir une égalité de traitement entre les administrés (pour des cas comparables, voir arrêts 8C_425/2014 du 12 août 2014, 8C_194/2013 du 26 septembre 2013 et 8C_601/2012 du 26 février 2013). Partant, on doit admettre qu'en réduisant la suspension à deux jours, la juridiction cantonale a substitué sa propre appréciation à celle de l'administration sans motif pertinent (cf. consid. 4.3). Le recours se révèle ainsi bien fondé.</w:t>
      </w:r>
    </w:p>
    <w:p>
      <w:r>
        <w:rPr>
          <w:b/>
        </w:rPr>
        <w:t>E. 6</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