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764/2023 vom 11. Dezember 2023</w:t>
      </w:r>
    </w:p>
    <w:p>
      <w:r>
        <w:t>Bundesgericht, 2023-12-11, DE</w:t>
      </w:r>
    </w:p>
    <w:p>
      <w:r>
        <w:rPr>
          <w:b/>
        </w:rPr>
        <w:t xml:space="preserve">Quelle: </w:t>
      </w:r>
      <w:r>
        <w:t>https://mcp.opencaselaw.ch/entscheid/bger_8C_764_2023</w:t>
      </w:r>
    </w:p>
    <w:p>
      <w:r>
        <w:t>FR: TF 8C 764/2023 du 11 décembre 2023</w:t>
      </w:r>
    </w:p>
    <w:p>
      <w:r>
        <w:t>IT: TF 8C 764/2023 del 11 dicembre 2023</w:t>
      </w:r>
    </w:p>
    <w:p>
      <w:pPr>
        <w:pStyle w:val="Heading2"/>
      </w:pPr>
      <w:r>
        <w:t>Regeste</w:t>
      </w:r>
    </w:p>
    <w:p>
      <w:r>
        <w:t>Kantonale Sozialversicherung (Prämienverbilligung; Prozessvoraussetzung) | Familienzulagen und kantonale Sozialversicherung</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w:t>
      </w:r>
    </w:p>
    <w:p>
      <w:r>
        <w:rPr>
          <w:b/>
        </w:rPr>
        <w:t>E. 2</w:t>
      </w:r>
    </w:p>
    <w:p>
      <w:r>
        <w:t>Die Vorinstanz legte im angefochtenen Urteil vom 10. Oktober 2023 in Auseinandersetzung mit den Parteivorbringen und in Würdigung der Akten näher dar, weshalb die Beschwerdegegnerin dem Beschwerdeführer für das Jahr 2021 keine Prämienverbilligung auszurichten hat.</w:t>
      </w:r>
    </w:p>
    <w:p>
      <w:r>
        <w:rPr>
          <w:b/>
        </w:rPr>
        <w:t>E. 3</w:t>
      </w:r>
    </w:p>
    <w:p>
      <w:r>
        <w:t>I nwiefern die von der Vorinstanz in diesem Zusammenhang getroffenen Sachverhaltsfeststellungen offensichtlich unrichtig (vgl. Art. 97 Abs. 1 BGG ) - mithin willkürlich ( BGE 146 IV 88 E. 1.3.1 f.; 140 III 115 E. 2; je mit Hinweisen) - oder sonstwie bundesrechtswidrig sein sollen, zeigt der Beschwerdeführer nicht auf. Ebenso wenig tut er dar, weshalb die darauf beruhenden Erwägungen gegen Bundesrecht verstossen oder einen anderen Beschwerdegrund (vgl. Art. 95 lit. a-e BGG ) gesetzt haben könnten. Insbesondere reicht es nicht aus, allein die Verletzung von verfassungsmässigen Rechten zu behaupten, darüber hinaus ohne jeglichen Sachbezug die eigene Lebensgeschichte zu schildern, die schweizerische Richterschaft pauschal als von den politischen Parteien abhängig zu bezeichnen und eine öffentliche Verhandlung im Sinne von Art. 6 Ziff. 1 EMRK unter blossem Hinweis auf die Verletzung dieser Norm zu fordern (zur Begründungspflicht hinsichtlich des letzten Anliegens siehe die dazu bereits ergangenen Erwägungen im Urteil 9C_407/2023 vom 7. Juli 2023 und in der Verfügung 9C_204/2022 vom 1. Juni 2022).</w:t>
      </w:r>
    </w:p>
    <w:p>
      <w:r>
        <w:rPr>
          <w:b/>
        </w:rPr>
        <w:t>E. 4</w:t>
      </w:r>
    </w:p>
    <w:p>
      <w:r>
        <w:t>All dies führt zu einem Nichteintreten auf das Rechtsmittel im vereinfachten Verfahren nach Art. 108 Abs. 1 lit. b BGG .</w:t>
      </w:r>
    </w:p>
    <w:p>
      <w:r>
        <w:rPr>
          <w:b/>
        </w:rPr>
        <w:t>E. 5</w:t>
      </w:r>
    </w:p>
    <w:p>
      <w:r>
        <w:t>In Anwendung von Art. 66 Abs. 1 Satz 2 BGG wird ausnahmsweise nochmals auf die Erhebung von Gerichtskosten verzichtet. Damit wird das mit der Beschwerdeerhebung sinngemäss gestellte Gesuch um unentgeltliche Prozessführung gegenstandslos. Bei gleichbleibender Rechtsmittelerhebung wird der Beschwerdeführer indessen inskünftig nicht mehr mit dieser Rechtswohltat rechnen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