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8C_764/2011 vom 2. Dezember 2011</w:t>
      </w:r>
    </w:p>
    <w:p>
      <w:r>
        <w:t>Bundesgericht, 2011-12-02, DE</w:t>
      </w:r>
    </w:p>
    <w:p>
      <w:r>
        <w:rPr>
          <w:b/>
        </w:rPr>
        <w:t xml:space="preserve">Quelle: </w:t>
      </w:r>
      <w:r>
        <w:t>https://mcp.opencaselaw.ch/entscheid/bger_8C_764_2011</w:t>
      </w:r>
    </w:p>
    <w:p>
      <w:r>
        <w:t>FR: TF 8C_764/2011 du 2 décembre 2011</w:t>
      </w:r>
    </w:p>
    <w:p>
      <w:r>
        <w:t>IT: TF 8C_764/2011 del 2 dicembre 2011</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zur Leistungspflicht des Unfallversicherers gemäss Art. 6 UVG bei Unfällen ( Art. 4 ATSG ), namentlich zum Anspruch auf eine Invalidenrente der Unfallversicherung ( Art. 18 Abs. 1 UVG ), zur Ermittlung des Invaliditätsgrades bei erwerbstätigen Versicherten nach der Einkommensvergleichsmethode ( Art. 16 ATSG ), zur Aufgabe des Arztes im Rahmen der Invaliditätsbemessung ( BGE 132 V 93 E. 4 S. 99; 125 V 256 E. 4 S. 261 f.; vgl. auch AHI 2002 S. 62, I 82/01 E. 4b/cc) sowie zum Beweiswert von Arztberichten und medizinischen Gutachten ( BGE 125 V 351 E. 3 S. 352 ff.; vgl. auch BGE 135 V 465 E. 4.3 S. 468 ff.), teilweise unter Verweis auf den Einspracheentscheid, zutreffend dargelegt.</w:t>
      </w:r>
    </w:p>
    <w:p>
      <w:r>
        <w:rPr>
          <w:b/>
        </w:rPr>
        <w:t>E. 3</w:t>
      </w:r>
    </w:p>
    <w:p>
      <w:r>
        <w:t>Der Beschwerdeführer macht sinngemäss im Wesentlichen geltend, dass zur Beurteilung der zumutbaren Arbeitsfähigkeit zu Unrecht auf den kreisärztlichen Abschlussbericht vom 24. November 2009 abgestellt worden sei, wonach er einer leidensangepassten Tätigkeit zeitlich uneingeschränkt nachgehen könne, attestiere ihm der behandelnde Hausarzt Dr. med. K.________ doch, dass regelmässig auftretende behandlungsbedürftige Gelenksergüsse eine Leistungseinbusse um 50 % begründeten (Bericht vom 25. Oktober 2010), was auch anlässlich der beruflichen Abklärung (Bericht vom 18. März 2011) bestätigt worden sei.</w:t>
      </w:r>
    </w:p>
    <w:p>
      <w:r>
        <w:rPr>
          <w:b/>
        </w:rPr>
        <w:t>E. 4</w:t>
      </w:r>
    </w:p>
    <w:p>
      <w:r>
        <w:t>Wie das Bundesgericht in BGE 125 V 351 erkannt hat, haben Versicherungsträger und Sozialversicherungsrichter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125 V 351 E. 3a S. 352).</w:t>
      </w:r>
    </w:p>
    <w:p>
      <w:r>
        <w:t>In BGE 135 V 465 hat das Bundesgericht festgehalten, dass Berichten versicherungsinterner medizinischer Fachpersonen zwar stets Beweiswert zuerkannt wurde, dass ihnen jedoch praxisgemäss nicht dieselbe Beweiskraft wie einem gerichtlichen oder einem im Verfahren nach Art. 44 ATSG vom Versicherungsträger in Auftrag gegebenen Gutachten zukommt. So soll bei Gerichtsgutachten "nicht ohne zwingende Gründe" von den Einschätzungen des medizinischen Experten abgewichen werden. Gutachten externer Spezialärzte, welche von Versicherungsträgern im Verfahren nach Art. 44 ATSG eingeholt wurden und den Anforderungen der Rechtsprechung entsprechen, darf das Gericht vollen Beweiswert zuerkennen, solange "nicht konkrete Indizien gegen die Zuverlässigkeit" der Expertise sprechen.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135 V 465 E. 4.3.2 u. 4.4 S. 469 f.).</w:t>
      </w:r>
    </w:p>
    <w:p>
      <w:r>
        <w:t>Aus dem Grundsatz der Waffengleichheit folgt gemäss BGE 135 V 465 das Recht der versicherten Person, mittels eigener Beweismittel die Zuverlässigkeit und Schlüssigkeit der ärztlichen Feststellungen der versicherungsinternen Fachpersonen in Zweifel zu ziehen. Diese von der versicherten Person eingereichten Beweismittel stammen regelmässig von behandelnden Ärztinnen und Ärzten oder von anderen medizinischen Fachpersonen, die in einem auftragsrechtlichen Verhältnis zur versicherten Person stehen. Da sich die behandelnden Ärztinnen und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 3a S. 352. Aus diesen Gründen und aufgrund der Erfahrungstatsache, dass Hausärzte mitunter im Hinblick auf ihre auftragsrechtliche Vertrauensstellung im Zweifelsfall eher zu Gunsten ihrer Patienten aussagen ( BGE 125 V 351 E. 3a/cc S. 353 mit weiteren Hinweisen), wird im Streitfall eine direkte Leistungszusprache einzig gestützt auf die Angaben der behandelnden Ärztinnen und Ärzte denn auch kaum je in Frage kommen ( BGE 135 V 465 E. 4.5 S. 470 f.). Die von der versicherten Person aufgelegten Berichte sind jedoch daraufhin zu prüfen, ob sie auch nur geringe Zweifel an der Zuverlässigkeit und Schlüssigkeit der Feststellungen versicherungsinterner Ärztinnen und Ärzte wecken. Um solche Zweifel auszuräumen, wird das Gericht entweder ein Gerichtsgutachten anzuordnen oder die Sache an den Versicherungsträger zurückzuweisen haben, damit dieser im Verfahren nach Art. 44 ATSG eine Begutachtung veranlasst ( BGE 135 V 465 E. 4.6 S. 471).</w:t>
      </w:r>
    </w:p>
    <w:p>
      <w:r>
        <w:rPr>
          <w:b/>
        </w:rPr>
        <w:t>E. 5</w:t>
      </w:r>
    </w:p>
    <w:p>
      <w:r>
        <w:t>Das kantonale Gericht hat sich zur Zumutbarkeitsbeurteilung des Dr. med. B.________ im Abschlussbericht vom 24. November 2009 eingehend geäussert und zutreffend dargelegt, dass und weshalb die Einschätzung des Hausarztes Dr. med. K.________ wie auch der Bericht über die berufliche Abklärung vom 18. März 2011 keine Zweifel an dessen Schlüssigkeit zu begründen vermögen.</w:t>
      </w:r>
    </w:p>
    <w:p>
      <w:r>
        <w:rPr>
          <w:b/>
        </w:rPr>
        <w:t>E. 5.1</w:t>
      </w:r>
    </w:p>
    <w:p>
      <w:r>
        <w:t>So ist zunächst hinsichtlich der hausärztlichen Stellungnahme entscheidwesentlich, dass das Anschwellen des Knies, welches Dr. med. K.________ bei diversen Konsultationen feststellen konnte, auf genaues Befragen des Versicherten hin nach Belastungen wie Fahrradfahren oder längerem Gehen aufgetreten war. Solche Tätigkeiten laufen dem Zumutbarkeitsprofil zuwider und ein dadurch bedingter Reizzustand vermag keine Einschränkung der Arbeitsfähigkeit in einem leidensangepassten Beruf zu begründen. Im Übrigen erläutert der Hausarzt nicht näher, weshalb seiner Auffassung nach nur eine 50%ige Arbeitsfähigkeit bestehe, und setzt sich insbesondere nicht mit der Einschätzung des SUVA-Kreisarztes auseinander.</w:t>
      </w:r>
    </w:p>
    <w:p>
      <w:r>
        <w:rPr>
          <w:b/>
        </w:rPr>
        <w:t>E. 5.2</w:t>
      </w:r>
    </w:p>
    <w:p>
      <w:r>
        <w:t>Die im Auftrag der Invalidenversicherung durchgeführte berufliche Abklärung hatte nicht zwischen unfallbedingten und unfallfremden Leiden zu differenzieren und kann hier daher keine Berücksichtigung finden. Das kantonale Gericht hat sich dazu einlässlich geäussert und insbesondere zu Recht in Erwägung gezogen, dass eine lange Liste von Diagnosen (auch Beschwerden am linken Knie) erhoben worden sei, welche hier ausser Betracht fallen. Zwar wurde auch dort eine Bildung von Gelenkergüssen festgestellt, wobei es sich jedoch hinsichtlich der hier allein zu berücksichtigenden Schädigung am rechten Knie um leichte Schwellungen handelte und nicht weiter auszuführen war, ob und in welchem Umfang diese für sich betrachtet zu einer Einschränkung selbst in einer leidensangepassten Tätigkeit führe. Im Übrigen erwähnte auch der Kreisarzt ausdrücklich, dass als Unfallfolgen Restbeschwerden verblieben, wobei er namentlich Belastungsschmerzen nannte.</w:t>
      </w:r>
    </w:p>
    <w:p>
      <w:r>
        <w:rPr>
          <w:b/>
        </w:rPr>
        <w:t>E. 5.3</w:t>
      </w:r>
    </w:p>
    <w:p>
      <w:r>
        <w:t>Damit ist nicht ausgewiesen, dass auch unter Einhaltung des kreisärztlichen Zumutbarkeitsprofils Gelenksergüsse am rechten, allein zu berücksichtigenden Knie verursacht würden, die zu einer unfallbedingten (zeitlichen) Einschränkung der Leistungsfähigkeit um 50 % führten. Namentlich ist deshalb der Einwand nicht gerechtfertigt, dass sich die Einschätzung des Kreisarztes im Nachhinein nicht bestätigt habe. Was der Beschwerdeführer vorbringt, vermag somit insgesamt keine Zweifel an der Zuverlässigkeit und Schlüssigkeit der kreisärztlichen Stellungnahme zu begründen, weshalb mit dem kantonalen Gericht darauf abzustellen ist; weitere medizinische Abklärungen sind nicht angezeigt.</w:t>
      </w:r>
    </w:p>
    <w:p>
      <w:r>
        <w:rPr>
          <w:b/>
        </w:rPr>
        <w:t>E. 6</w:t>
      </w:r>
    </w:p>
    <w:p>
      <w:r>
        <w:t>Die vorinstanzliche Invaliditätsbemessung wird, soweit nicht den Umfang der Arbeitsfähigkeit betreffend, nicht beanstandet und gibt keinen Anlass zu Weiterungen.</w:t>
      </w:r>
    </w:p>
    <w:p>
      <w:r>
        <w:rPr>
          <w:b/>
        </w:rPr>
        <w:t>E. 7</w:t>
      </w:r>
    </w:p>
    <w:p>
      <w:r>
        <w:t>Die Beschwerde kann ohne Durchführung des Schriftenwechsels ( Art. 102 Abs. 1 BGG ) erledigt werden.</w:t>
      </w:r>
    </w:p>
    <w:p>
      <w:r>
        <w:rPr>
          <w:b/>
        </w:rPr>
        <w:t>E. 8</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