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762/2023 vom 12. Dezember 2023</w:t>
      </w:r>
    </w:p>
    <w:p>
      <w:r>
        <w:t>Bundesgericht, 2023-12-12, DE</w:t>
      </w:r>
    </w:p>
    <w:p>
      <w:r>
        <w:rPr>
          <w:b/>
        </w:rPr>
        <w:t xml:space="preserve">Quelle: </w:t>
      </w:r>
      <w:r>
        <w:t>https://mcp.opencaselaw.ch/entscheid/bger_8C_762_2023</w:t>
      </w:r>
    </w:p>
    <w:p>
      <w:r>
        <w:t>FR: TF 8C 762/2023 du 12 décembre 2023</w:t>
      </w:r>
    </w:p>
    <w:p>
      <w:r>
        <w:t>IT: TF 8C 762/2023 del 12 dicembre 2023</w:t>
      </w:r>
    </w:p>
    <w:p>
      <w:pPr>
        <w:pStyle w:val="Heading2"/>
      </w:pPr>
      <w:r>
        <w:t>Regeste</w:t>
      </w:r>
    </w:p>
    <w:p>
      <w:r>
        <w:t>Arbeitslosenversicherung (Prozessvoraussetzung) | Arbeitslosenversicherung</w:t>
      </w:r>
    </w:p>
    <w:p>
      <w:pPr>
        <w:pStyle w:val="Heading2"/>
      </w:pPr>
      <w:r>
        <w:t>Erwägungen</w:t>
      </w:r>
    </w:p>
    <w:p>
      <w:r>
        <w:rPr>
          <w:b/>
        </w:rPr>
        <w:t>E. 1</w:t>
      </w:r>
    </w:p>
    <w:p>
      <w:r>
        <w:t>Mit Einspracheentscheid vom 25. Mai 2023 verneinte die Beschwerdeführerin einen Anspruch des Beschwerdegegners auf Arbeitslosenentschädigung für die Zeit ab dem 5. April 2023. Das Sozialversicherungsgericht des Kantons Zürich hob diesen Einspracheentscheid mit Urteil vom 17. Oktober 2023 auf und wies die Sache an die Beschwerdeführerin zurück, damit diese, nach erfolgter Abklärung im Sinne der Erwägungen, über den Anspruch des Beschwerdegegners neu entscheide.</w:t>
      </w:r>
    </w:p>
    <w:p>
      <w:r>
        <w:rPr>
          <w:b/>
        </w:rPr>
        <w:t>E. 2</w:t>
      </w:r>
    </w:p>
    <w:p>
      <w:r>
        <w:t>Bei diesem Rückweisungsentscheid handelt es sich, da das Verfahren noch nicht abgeschlossen ist, um einen selbstständig eröffneten Zwischenentscheid im Sinne von Art. 93 BGG ( BGE 144 V 280 E. 1.2; 133 V 481 E. 4.2).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3.1</w:t>
      </w:r>
    </w:p>
    <w:p>
      <w:r>
        <w:t>Ein nicht wieder gutzumachender Nachteil im Sinne von Art. 93 Abs. 1 lit. a BGG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rPr>
          <w:b/>
        </w:rPr>
        <w:t>E. 3.2</w:t>
      </w:r>
    </w:p>
    <w:p>
      <w:r>
        <w:t>Das kantonale Gericht hat die Beschwerdeführerin im angefochtenen Urteil allein zu weiteren Abklärungen der konkreten Umstände des Einzelfalls verhalten. Darüber hinaus macht es keine Vorgaben, welche die Beschwerdeführerin dazu zwingen würden, eine aus ihrer Sicht rechtswidrige Verfügung zu erlassen. Insbesondere steht es ihr auch nach durchgeführter Abklärung weiterhin frei, entsprechend ihrer Überzeugung neu zu verfügen. Ein nicht wieder gutzumachender rechtlicher Nachteil ist dergestalt nicht auszumachen. Allein die Verlängerung des Verfahrens wegen möglicherweise unnötiger Abklärungen reicht dafür nicht aus ( BGE 140 V 282 E. 4.2; 139 V 99 ; Urteil 8C_311/2022 vom 31. Mai 2022).</w:t>
      </w:r>
    </w:p>
    <w:p>
      <w:r>
        <w:rPr>
          <w:b/>
        </w:rPr>
        <w:t>E. 4</w:t>
      </w:r>
    </w:p>
    <w:p>
      <w:r>
        <w:t>Ein Eintreten auf die Beschwerde gestützt auf Art. 93 Abs. 1 lit. b BGG ist ebenso wenig angezeigt. Zwar wäre ein sofortiger Endentscheid möglich, indessen bliebe damit kein weitläufiges Beweisverfahren im Sinne dieser Bestimmung erspart (vgl. statt vieler: BGE 139 V 99 E. 2.4 oder SVR 2011 IV Nr. 57 [Urteil 8C_958/2010 vom 25. Februar 2011] E. 3.3.2.2).</w:t>
      </w:r>
    </w:p>
    <w:p>
      <w:r>
        <w:rPr>
          <w:b/>
        </w:rPr>
        <w:t>E. 5</w:t>
      </w:r>
    </w:p>
    <w:p>
      <w:r>
        <w:t>Erweist sich die Beschwerde als offensichtlich unzulässig, führt dies zu einem Nichteintreten auf das Rechtsmittel im vereinfachten Verfahren nach Art. 108 Abs. 1 lit. a BGG .</w:t>
      </w:r>
    </w:p>
    <w:p>
      <w:r>
        <w:rPr>
          <w:b/>
        </w:rPr>
        <w:t>E. 6</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