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8C_762/2007 vom 2. Juli 2008</w:t>
      </w:r>
    </w:p>
    <w:p>
      <w:r>
        <w:t>Bundesgericht, 2008-07-02, FR</w:t>
      </w:r>
    </w:p>
    <w:p>
      <w:r>
        <w:rPr>
          <w:b/>
        </w:rPr>
        <w:t xml:space="preserve">Quelle: </w:t>
      </w:r>
      <w:r>
        <w:t>https://mcp.opencaselaw.ch/entscheid/bger_8C_762_2007</w:t>
      </w:r>
    </w:p>
    <w:p>
      <w:r>
        <w:t>FR: TF 8C_762/2007 du 2 juillet 2008</w:t>
      </w:r>
    </w:p>
    <w:p>
      <w:r>
        <w:t>IT: TF 8C_762/2007 del 2 luglio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rentes sont calculées d'après le gain assuré, qui correspond au salaire gagné par l'assuré durant l'année précédant l'accident; le mon-tant maximum du gain assuré s'élève en l'espèce à 106'800 fr. par an et 293 fr. par jour ( art. 15 al. 1 et 2 LAA et art. 22 al. 1 OLAA , dans sa version en vigueur jusqu'au 31 décembre 2007). Selon l' art. 24 al. 4 OLAA , édicté sur la base de la délégation de compétence de l' art. 15 al. 3 LAA , lorsque le bénéficiaire d'une rente d'invalidité est victime d'un nouvel accident couvert par l'assurance qui aggrave son invalidi-té, le salaire déterminant pour le calcul de la nouvelle rente allouée pour les deux accidents est celui qu'il aurait reçu pendant l'année qui a précédé le dernier accident s'il n'avait pas subi auparavant un acci-dent couvert par l'assurance; si ce salaire est inférieur à celui qu'il tou-chait avant le premier accident couvert par l'assurance, le salaire su-périeur est déterminant.</w:t>
      </w:r>
    </w:p>
    <w:p>
      <w:r>
        <w:rPr>
          <w:b/>
        </w:rPr>
        <w:t>E. 2.1</w:t>
      </w:r>
    </w:p>
    <w:p>
      <w:r>
        <w:t>Les premiers juges ont confirmé la décision litigieuse de la CNA tant sur le principe de l'allocation d'une seule rente pour les deux acci-dents assurés que sur la quotité de celle-ci. Il s'agissait d'un cas d'ap-plication clair de l' art. 24 al. 4 OLAA qui commandait, dans l'hypothèse d'accidents successifs pris en charge par le même assureur, de procé-der à une évaluation globale de la situation de l'assuré et de verser une seule rente. Un maintien de l'ancienne rente aurait pour effet de conduire à une double indemnisation de l'assuré.</w:t>
      </w:r>
    </w:p>
    <w:p>
      <w:r>
        <w:rPr>
          <w:b/>
        </w:rPr>
        <w:t>E. 2.2</w:t>
      </w:r>
    </w:p>
    <w:p>
      <w:r>
        <w:t>Le recourant conteste ce point de vue. Il estime que c'est une violation de l' art. 80 al. 2 LAMA (applicable en vertu de l' art. 118 al. 1 LAA ), qui interdit la révision des rentes allouées sous ce régime au-delà de la neuvième année après l'accident. Il se réfère à l'arrêt du 21 février 2005 du Tribunal fédéral des assurances dans lequel celui-ci avait justement désavoué la CNA à cause de l'intangibilité de son droit à la rente pour ce qui concerne le montant des indemnités journalières qui lui était dû. Il devait en aller de même lors du passage à la rente en raison du deuxième accident. Cette rente devait être déterminée et calculée séparément de la première.</w:t>
      </w:r>
    </w:p>
    <w:p>
      <w:r>
        <w:rPr>
          <w:b/>
        </w:rPr>
        <w:t>E. 3</w:t>
      </w:r>
    </w:p>
    <w:p>
      <w:r>
        <w:t>Le jugement cantonal est tout à fait conforme à la jurisprudence. Dans un arrêt publié à la RAMA 2002 no U 458 p. 224 [U 452/00], le Tribu-nal fédéral des assurances a déjà eu l'occasion de se prononcer sur le cas d'un assuré qui est bénéficiaire d'une rente d'invalidité sous le ré-gime de la LAMA et qui subit un nouvel accident aggravant son invali-dité après l'entrée en vigueur de la LAA. Il a jugé que dans la mesure où l'assureur compétent était le même pour les deux accidents, celui-ci devait allouer une seule rente pour les deux cas en fonction d'un seul gain assuré déterminé selon l' art. 24 al. 4 OLAA . L'interdiction de réviser les rentes prévue dans l'ancien art. 80 al. 2 LAMA ne trouvait pas application dans ce contexte. C'est donc en vain que le recourant critique la légalité de l' art. 24 al. 4 OLAA par ce biais. On ajoutera que cette disposition réglementaire vise à préserver les droits de l'assuré qui est victime d'accidents successifs en évitant que la rente globale ne soit fixée sur la base d'un salaire d'invalide. Dans le cas du recou-rant, cette règle ne joue en définitive pas de rôle puisque la rente al-louée par l'intimée a été calculée sur la base du gain assuré maximal selon la loi (cf. art. 22 al. 1 OLAA ).</w:t>
      </w:r>
    </w:p>
    <w:p>
      <w:r>
        <w:t>Le recours se révèle manifestement infondé, si bien qu'il convient de statuer selon la procédure prévue à l' art. 109 al. 2 let. a LTF et sans qu'il y ait lieu d'ordonner d'échange d'écritures.</w:t>
      </w:r>
    </w:p>
    <w:p>
      <w:r>
        <w:rPr>
          <w:b/>
        </w:rPr>
        <w:t>E. 4</w:t>
      </w:r>
    </w:p>
    <w:p>
      <w:r>
        <w:t>La procédure est onéreuse ( art. 65 al. 4 let. a LTF ). Le recourant, qui succombe, supportera les frais judiciaires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