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8C_761/2021 vom 18. November 2021</w:t>
      </w:r>
    </w:p>
    <w:p>
      <w:r>
        <w:t>Bundesgericht, 2021-11-18, DE</w:t>
      </w:r>
    </w:p>
    <w:p>
      <w:r>
        <w:rPr>
          <w:b/>
        </w:rPr>
        <w:t xml:space="preserve">Quelle: </w:t>
      </w:r>
      <w:r>
        <w:t>https://mcp.opencaselaw.ch/entscheid/bger_8C_761_2021</w:t>
      </w:r>
    </w:p>
    <w:p>
      <w:r>
        <w:t>FR: TF 8C_761/2021 du 18 novembre 2021</w:t>
      </w:r>
    </w:p>
    <w:p>
      <w:r>
        <w:t>IT: TF 8C_761/2021 del 18 novembre 2021</w:t>
      </w:r>
    </w:p>
    <w:p>
      <w:pPr>
        <w:pStyle w:val="Heading2"/>
      </w:pPr>
      <w:r>
        <w:t>Volltext</w:t>
      </w:r>
    </w:p>
    <w:p>
      <w:r>
        <w:t>Bundesgericht</w:t>
      </w:r>
    </w:p>
    <w:p>
      <w:r>
        <w:t>Tribunal fédéral</w:t>
      </w:r>
    </w:p>
    <w:p>
      <w:r>
        <w:t>Tribunale federale</w:t>
      </w:r>
    </w:p>
    <w:p>
      <w:r>
        <w:t>Tribunal federal</w:t>
      </w:r>
    </w:p>
    <w:p>
      <w:r>
        <w:t>8C_761/2021</w:t>
      </w:r>
    </w:p>
    <w:p>
      <w:r>
        <w:t>Urteil vom 18. November 2021</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 Kantonsgerichts Luzern vom 4. Oktober 2021 (5V 21 42).</w:t>
      </w:r>
    </w:p>
    <w:p>
      <w:r>
        <w:t>Nach Einsicht</w:t>
      </w:r>
    </w:p>
    <w:p>
      <w:r>
        <w:t>in die Beschwerde vom 12. November 2021 gegen das Urteil des Kantonsgerichts Luzern vom 4. Oktober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eine rein appellatorische Kritik genügt nicht ( BGE 136 I 65 E. 1.3.1 und 134 II 244 E. 2.1),</w:t>
      </w:r>
    </w:p>
    <w:p>
      <w:r>
        <w:t>dass auch von Beschwerde führenden Laien erwartet werden darf, auf die vorinstanzliche Begründung konkret einzugehen,</w:t>
      </w:r>
    </w:p>
    <w:p>
      <w:r>
        <w:t>dass die Vorinstanz in einlässlicher Auseinandersetzung mit den Parteivorbringen und in Würdigung der im Recht liegenden Arztberichte zur Überzeugung gelangt ist, die Beschwerdegegnerin habe der Beschwerdeführerin mit Einspracheentscheid vom 4. Januar 2021 zu Recht keine Integritätsentschädigung aus der im Jahr 1996 anerkannten Berufskrankheit zugesprochen,</w:t>
      </w:r>
    </w:p>
    <w:p>
      <w:r>
        <w:t>dass die Beschwerdeführerin darauf nicht näher eingeht, stattdessen allein den Geschehensablauf aus ihrer Sicht schildert und pauschal auf die Nichteignungsverfügung der Beschwerdegegnerin vom 30. Dezember 1996 betreffend die Arbeiten mit Kontakt zu Kolophonium, Nickel sowie Thiuramen und die von verschiedenen Ärzten gestellten psychiatrischen Diagnosen verweist; inwiefern die vorinstanzlichen Sachverhaltsfeststellungen unrichtig im Sinne von Art. 97 Abs. 2 BGG und die darauf beruhenden Erwägungen rechtsfehlerhaft sein sollen, ist damit nicht nachvollziehbar dargelegt,</w:t>
      </w:r>
    </w:p>
    <w:p>
      <w:r>
        <w:t>dass dieser Begründungsmangel offensichtlich ist, was zu einem Nichteintreten auf die Beschwerde im vereinfachten Verfahren nach Art. 108 Abs. 1 lit. b BGG führt,</w:t>
      </w:r>
    </w:p>
    <w:p>
      <w:r>
        <w:t>dass die Beschwerdeschrift im Übrigen nicht eigenhändig unterzeichnet ist (Näheres dazu: Art. 42 Abs.1 in Verbindung mit Abs. 5 BGG),</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und dem Bundesamt für Gesundheit schriftlich mitgeteilt.</w:t>
      </w:r>
    </w:p>
    <w:p>
      <w:r>
        <w:t>Luzern, 18. November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