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8C_761/2014 vom 15. Oktober 2015</w:t>
      </w:r>
    </w:p>
    <w:p>
      <w:r>
        <w:t>Bundesgericht, 2015-10-15, FR</w:t>
      </w:r>
    </w:p>
    <w:p>
      <w:r>
        <w:rPr>
          <w:b/>
        </w:rPr>
        <w:t xml:space="preserve">Quelle: </w:t>
      </w:r>
      <w:r>
        <w:t>https://mcp.opencaselaw.ch/entscheid/bger_8C_761_2014</w:t>
      </w:r>
    </w:p>
    <w:p>
      <w:r>
        <w:t>FR: TF 8C_761/2014 du 15 octobre 2015</w:t>
      </w:r>
    </w:p>
    <w:p>
      <w:r>
        <w:t>IT: TF 8C_761/2014 del 15 ottobre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taux de la rente de l'assurance-invalidité à laquelle a droit le recourant à partir du 1</w:t>
      </w:r>
    </w:p>
    <w:p>
      <w:r>
        <w:t>er février 2007. A cet égard, le jugement entrepris expose correctement les règles légales et la jurisprudence relative à la notion d'invalidité et à son évaluation, ainsi qu'à la valeur probante des rapports et expertises médicaux. Il suffit donc d'y renvoyer.</w:t>
      </w:r>
    </w:p>
    <w:p>
      <w:r>
        <w:rPr>
          <w:b/>
        </w:rPr>
        <w:t>E. 3.1</w:t>
      </w:r>
    </w:p>
    <w:p>
      <w:r>
        <w:t>L'office AI a considéré que la capacité résiduelle de travail de l'assuré était de 70 % dans une activité adaptée. Il s'est fondé pour cela sur les conclusions des experts du Centre D.________, selon lesquelles la durée d'activité est limitée à six heures par jour en raison des douleurs dorsales et thoraciques antérieures qui s'installent et augmentent progressivement durant la journée (rapport du 29 octobre 2009). De son côté, la cour cantonale a confirmé le point de vue de l'office AI.</w:t>
      </w:r>
    </w:p>
    <w:p>
      <w:r>
        <w:rPr>
          <w:b/>
        </w:rPr>
        <w:t>E. 3.2.1</w:t>
      </w:r>
    </w:p>
    <w:p>
      <w:r>
        <w:t>Par un premier moyen, le recourant fait valoir qu'aucune nouvelle activité professionnelle n'est exigible en raison de son âge, proche de celui de la retraite, et du fait que sa capacité de travail est nulle dans son ancienne activité de maçon. Se référant à un arrêt 9C_734/2013 du 13 mars 2014, il fait valoir qu'au mois de mai 2012 - soit lorsque, selon lui, tous les éléments médicaux nécessaires au prononcé de la décision ont été réunis - il était âgé de 62 ans, de sorte que l'on ne pouvait plus exiger de lui qu'il exerçât une activité à 70 % dans une nouvelle profession.</w:t>
      </w:r>
    </w:p>
    <w:p>
      <w:r>
        <w:rPr>
          <w:b/>
        </w:rPr>
        <w:t>E. 3.2.2</w:t>
      </w:r>
    </w:p>
    <w:p>
      <w:r>
        <w:t>Lorsqu'il s'agit d'examiner dans quelle mesure un assuré peut encore exploiter économiquement sa capacité de gain résiduelle sur le marché du travail entrant en considération pour lui ( art. 16 LPGA ; RS 830.1), on ne saurait subordonner la concrétisation des possibilités de travail et des perspectives de gain à des exigences excessives. Il s'ensuit que pour évaluer l'invalidité, il n'y a pas lieu d'examiner le point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(arrêt du Tribunal fédéral des assurances I 198/97 du 7 juillet 1998 [VSI 1998 p. 293]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des assurances I 377/98 du 28 juillet 1999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(arrêts 9C_716/2014 du 19 février 2015 consid. 4.1; 9C_695/2010 du 15 mars 2011 consid. 5 et les arrêts cités).</w:t>
      </w:r>
    </w:p>
    <w:p>
      <w:r>
        <w:t>Selon la jurisprudence, le moment où la question de la mise en valeur de la capacité (résiduelle) de travail pour un assuré proche de l'âge de la retraite sur le marché de l'emploi doit être examinée correspond au moment auquel il a été constaté que l'exercice (partiel) d'une activité lucrative était médicalement exigible, soit dès que les documents médicaux permettent d'établir de manière fiable les faits y relatifs ( ATF 138 V 457 consid. 3.3 p. 461 s.; arrêt 9C_716/2014, déjà cité, consid. 4.2).</w:t>
      </w:r>
    </w:p>
    <w:p>
      <w:r>
        <w:rPr>
          <w:b/>
        </w:rPr>
        <w:t>E. 3.2.3</w:t>
      </w:r>
    </w:p>
    <w:p>
      <w:r>
        <w:t>En l'occurrence, la cour cantonale a retenu que le moment déterminant pour examiner la question de la mise en valeur de la capacité (résiduelle) de travail du recourant était le 29 octobre 2009, date à laquelle a été rendu le rapport du Centre D.________, dans lequel les experts ont établi de manière fiable tous les faits y relatifs. Or, en se contentant d'alléguer que d'autres rapports ont encore été nécessaires pour confirmer que l'état de santé était stabilisé, le recourant ne démontre pas le caractère manifestement inexact des constatations des premiers juges (cf. art. 105 al. 1 et 2 LTF ). Aussi doit-on admettre qu'âgé de 59 ans au moment déterminant, l'intéressé était encore objectivement susceptible d'être engagé par un employeur potentiel. Le moyen tiré de la proximité de l'âge de la retraite est dès lors mal fondé.</w:t>
      </w:r>
    </w:p>
    <w:p>
      <w:r>
        <w:rPr>
          <w:b/>
        </w:rPr>
        <w:t>E. 3.3</w:t>
      </w:r>
    </w:p>
    <w:p>
      <w:r>
        <w:t>Par un deuxième moyen, le recourant conteste la valeur probante du rapport du Centre D.________. Il reproche aux experts de n'avoir pas pris position sur l'appréciation du docteur G.________, selon laquelle l'intéressé ne peut exercer une activité adaptée qu'à mi-temps (quatre heures par jour) et seulement avec un rendement de 80 % (rapport du 27 mai 2008). En outre, les experts du Centre D.________ qui ont tenté d'établir un lien entre les douleurs et une symptomatologie anxieuse sont des spécialistes en rhumatologie et en psychiatrie, c'est-à-dire des spécialités inappropriées pour évaluer correctement les conséquences d'un grave traumatisme, soit une atteinte relevant de l'orthopédie.</w:t>
      </w:r>
    </w:p>
    <w:p>
      <w:r>
        <w:t>En l'occurrence, on ne voit pas bien en quoi l'origine somatique ou anxieuse des douleurs est de nature à éveiller des doutes quant à la valeur probante des conclusions des experts, du moment que, comme le concède le recourant, ceux-ci ont reconnu le caractère invalidant de la symptomatologie douloureuse en limitant la capacité de travail à six heures par jour en raison des douleurs qui s'installent et augmentent progressivement durant la journée. Pour le reste, le docteur G.________ ne fait état d'aucun élément objectif qui n'ait été pris en compte par les médecins du Centre D.________ pour apprécier la capacité résiduelle de travail de l'assuré. Cela étant, il n'existe aucun motif de mettre en doute la valeur probante de leur rapport d'expertise du 29 octobre 2009.</w:t>
      </w:r>
    </w:p>
    <w:p>
      <w:r>
        <w:rPr>
          <w:b/>
        </w:rPr>
        <w:t>E. 3.4</w:t>
      </w:r>
    </w:p>
    <w:p>
      <w:r>
        <w:t>Par un troisième moyen, le recourant critique le point de vue de la cour cantonale selon lequel l'appréciation des experts du Centre D.________ est corroborée par les observations faites au cours du stage d'évaluation et d'observation professionnelle auprès du CEPAI. Il allègue que les rendements observés dans les activités effectuées au cours de ce stage ne correspondent pas au rendement moyen de l'ordre de 60 % à 70 % retenu par la juridiction précédente. Au demeurant, il reproche aux premiers juges de confondre les notions en considérant qu'une capacité de travail limitée à six heures par jour avec un rendement de 100 % correspond à une activité de 100 % avec un rendement de 60% à 70 %. Si, selon le recourant, cela est vrai dans le résultat du calcul économique du taux d'invalidité, il n'en va pas de même pour l'évaluation médicale de la capacité de travail.</w:t>
      </w:r>
    </w:p>
    <w:p>
      <w:r>
        <w:t>Les griefs du recourant ne sont pas de nature à mettre en cause le point de vue des premiers juges.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 ATF 125 V 256 consid. 4 p. 261; 115 V 133 consid. 2 p. 134; 114 V 310 consid. 3c p. 314 s.). C'est pourquoi les appréciations des médecins l'emportent sur les constatations qui peuvent être faites à l'occasion d'un stage d'observation professionnelle et qui sont susceptibles d'être influencées par des éléments subjectifs liés au comportement de l'assuré pendant le stage (arrêts 9C_83/2013 du 9 juillet 2013 consid. 4.2; 8C_451/2012 du 28 mai 2013 consid. 4; 9C_631/2007 du 4 juillet 2008 consid. 4. 1). Au demeurant, le recourant ne fait pas état, entre les constatations médicales et les observations des organes d'observation professionnelle, de divergences d'une importance telle qu'elles nécessiteraient un complément d'instruction. Par ailleurs, ce n'est pas l'incapacité de travail en tant que telle qui ouvre droit à la rente d'invalidité mais la diminution permanente ou de longue durée, résultant d'une atteinte à la santé assurée, des possibilités de gain sur le marché du travail équilibré qui entre en ligne de compte pour l'assuré (cf. art. 8 al. 1 et 16 LPGA ; ATF 130 V 343 consid. 3.3 p. 347; 116 V 246 consid. 1b p. 249 et les arrêts cités). Dans ces conditions, il importe peu que les possibilités de gain de l'intéressé soient réduites à la suite d'une diminution de rendement ou d'une limitation de la durée d'activité.</w:t>
      </w:r>
    </w:p>
    <w:p>
      <w:r>
        <w:t>Vu ce qui précède, il n'y a pas lieu de s'écarter du point de vue de la cour cantonale selon lequel la capacité résiduelle de travail de l'assuré est limitée à six heures par jour dans une activité adaptée et il n'est pas nécessaire de mettre en oeuvre un complément d'instruction sous la forme d'une nouvelle expertise médicale, comme le demande le recourant.</w:t>
      </w:r>
    </w:p>
    <w:p>
      <w:r>
        <w:rPr>
          <w:b/>
        </w:rPr>
        <w:t>E. 3.5</w:t>
      </w:r>
    </w:p>
    <w:p>
      <w:r>
        <w:t>Vu ce qui précède, le jugement attaqué n'est pas critiquable et le recours se révèle mal fondé.</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