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761/2012 vom 29. Juli 2013</w:t>
      </w:r>
    </w:p>
    <w:p>
      <w:r>
        <w:t>Bundesgericht, 2013-07-29, FR</w:t>
      </w:r>
    </w:p>
    <w:p>
      <w:r>
        <w:rPr>
          <w:b/>
        </w:rPr>
        <w:t xml:space="preserve">Quelle: </w:t>
      </w:r>
      <w:r>
        <w:t>https://mcp.opencaselaw.ch/entscheid/bger_8C_761_2012</w:t>
      </w:r>
    </w:p>
    <w:p>
      <w:r>
        <w:t>FR: TF 8C 761/2012 du 29 juillet 2013</w:t>
      </w:r>
    </w:p>
    <w:p>
      <w:r>
        <w:t>IT: TF 8C 761/2012 del 29 luglio 2013</w:t>
      </w:r>
    </w:p>
    <w:p>
      <w:pPr>
        <w:pStyle w:val="Heading2"/>
      </w:pPr>
      <w:r>
        <w:t>Regeste</w:t>
      </w:r>
    </w:p>
    <w:p>
      <w:r>
        <w:t>Assurance-accidents (rente d'invalideté, indemnité pour alleinte à l'intgrité)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A l'appui de ses conclusions, le recourant produit les copies d'un contrat de travail passé avec la société Z.________ SA, portant effet au 1 er décembre 2011, ainsi que des fiches de salaire établies par cet employeur pour la période du mois de décembre 2011 au mois d'août 2012.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taux de la rente d'invalidité allouée au recourant depuis le 1 er juin 2009, ainsi que sur celui de l'indemnité pour atteinte à l'intégrité.</w:t>
      </w:r>
    </w:p>
    <w:p>
      <w:r>
        <w:rPr>
          <w:b/>
        </w:rPr>
        <w:t>E. 3.1</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Aux termes de l' art.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3.2</w:t>
      </w:r>
    </w:p>
    <w:p>
      <w:r>
        <w:t>La juridiction cantonale a confirmé le taux d'incapacité de gain de 12 % retenu par l'intimée dans sa décision sur opposition du 5 avril 2011. Pour fixer ce taux, la CNA s'est fondée sur un revenu d'invalide en 2009 d'un montant annuel de 61'385 fr., correspondant au gain auquel peuvent prétendre les hommes exerçant une activité simple et répétitive selon l'Enquête suisse sur la structure des salaires (ESS), publiée par l'Office fédéral de la statistique. Le recourant conteste le montant de ce revenu hypothétique d'invalide confirmé par la juridiction cantonale, en invoquant une violation du principe de l'interdiction de l'arbitraire, un abus du pouvoir d'appréciation au sens de l' art. 95 let. a LTF , ainsi qu'une constatation erronée des faits pertinents au sens de l' art. 97 al. 2 LTF . Il fait valoir que le revenu réalisé dans son activité d'opérateur-régleur CNC au service de la société Z.________ SA est nettement inférieur au revenu d'invalide retenu et que la juridiction cantonale ne pouvait pas se fonder sur le revenu moyen tiré de l'ESS au motif qu'il n'a pas été réadapté avec succès dans l'activité de régleur CNC. En outre, il invoque une violation de la jurisprudence fédérale par la juridiction précédente qui a retenu un gain hypothétique fondé sur les statistiques tirées de l'ESS, alors qu'en l'occurrence, il a été réadapté dans une activité qu'il exerce d'une manière stable.</w:t>
      </w:r>
    </w:p>
    <w:p>
      <w:r>
        <w:rPr>
          <w:b/>
        </w:rPr>
        <w:t>E. 3.3</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 ATF 135 V 297 consid. 5.2 p. 301; 129 V 472 consid. 4.2.1 p. 475). En l'espèce, au moment où a été rendue la décision sur opposition litigieuse (5 avril 2011) - qui, en règle générale, délimite l'état de fait déterminant permettant d'examiner la légalité de l'acte attaqué ( ATF 132 V 215 consid. 3.1.1 p. 220; 121 V 362 consid. 1b p. 366 et les arrêts cités) - l'assuré n'avait pas trouvé d'emploi dans la profession apprise dans le cadre de la mesure d'ordre professionnel accordée par l'assurance-invalidité mais exerçait un emploi temporaire, très modestement rémunéré, au service de Y.________ et bénéficiait en outre de prestations d'aide sociale. Par ailleurs, il n'y a pas de motifs de revenir sur le point de vue de la juridiction cantonale, selon lequel on ne peut accorder aux attestations d'employeurs potentiels fournies par l'intéressé la valeur probante de descriptions de poste de travail (DPT) satisfaisant aux exigences posées par la jurisprudence (cf. ATF 129 V 472 ). Au demeurant, ces indications salariales relatives à un emploi de régleur CNC sans expérience professionnelle sont imprécises, voire contradictoires. Dans ces conditions, l'intimée était fondée à se référer aux données salariales résultant de l'ESS pour évaluer le revenu d'invalide. Au surplus, elle a correctement évalué les valeurs déterminantes pour la comparaison des revenus prescrite à l' art. 16 LPGA et le calcul du taux d'invalidité, confirmé par la juridiction cantonale, n'est pas critiquable.</w:t>
      </w:r>
    </w:p>
    <w:p>
      <w:r>
        <w:rPr>
          <w:b/>
        </w:rPr>
        <w:t>E. 4.1</w:t>
      </w:r>
    </w:p>
    <w:p>
      <w:r>
        <w:t>Selon l' art. 24 al. 1 LAA , l'assuré qui souffre d'une atteinte importante et durable à son intégrité physique, mentale ou psychique par suite de l'accident a droit à une indemnité équitable pour atteinte à l'intégrité. Aux termes de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4.2</w:t>
      </w:r>
    </w:p>
    <w:p>
      <w:r>
        <w:t>En l'espèce, l'intimée a fixé à 5 % le taux de l'atteinte à l'intégrité résultant de l'accident du 31 août 2004. Elle s'est fondée pour cela sur l'appréciation de son médecin d'arrondissement, le docteur E.________ (rapport du 23 avril 2009), lequel a tenu compte d'une très légère limitation dans l'amplitude, de persistance de douleurs à l'effort et du développement d'une arthrose modérée. Ce médecin a fixé le taux d'atteinte à 5 % en se référant à la table 5, publiée par la CNA, concernant l'indemnisation des atteintes à l'intégrité selon la LAA, en particulier les atteintes résultant d'arthroses. Selon cette table, les arthroses moyennes du coude représentent une atteinte de 5 % à 10 % et les arthroses graves un taux de 10 % à 25 %. Au cours de la procédure d'opposition, la CNA a requis l'avis du docteur G.________, médecin d'arrondissement. Dans une brève appréciation du 27 juillet 2010, ce médecin a confirmé l'avis du docteur E.________. Ce taux de 5 % a été corroboré également par le docteur P.________, spécialiste en chirurgie et médecin de la division de médecine des assurances de la CNA, au cours de la procédure judiciaire cantonale (rapport du 8 juin 2011).</w:t>
      </w:r>
    </w:p>
    <w:p>
      <w:r>
        <w:rPr>
          <w:b/>
        </w:rPr>
        <w:t>E. 4.3</w:t>
      </w:r>
    </w:p>
    <w:p>
      <w:r>
        <w:t>Le recourant invoque une violation du principe inquisitoire, consacré à l' art. 43 al. 1 LPGA , par la juridiction cantonale qui a confirmé le taux d'atteinte à l'intégrité fixé par la CNA. Il reproche aux premiers juges de s'être limités à des appréciations fondées sur des examens médicaux effectués le 23 avril 2009, alors que ses allégations, selon lesquelles son état s'est aggravé depuis cette date, auraient dû inciter la juridiction précédente à ordonner un examen médical complet et la mise en oeuvre de nouvelles radiographies. Ce grief est mal fondé. L'évaluation de la gravité de l'atteinte incombe aux médecins, à qui il appartient de constater les limitations objectives subies par l'assuré, ainsi qu'évaluer l'atteinte à l'intégrité qui en résulte ( JEAN-MAURICE FRÉSARD/MARGIT MOSER-SZELESS, L'assurance-accidents obligatoire, in: Schweizerisches Bundesverwaltungsrecht [SBVR], Soziale Sicherheit, 2 ème éd., 2007, n. 235 p. 917). Par ailleurs, lorsque les preuves administrées lui permettent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sans violer le droit d'être entendu du justiciable ( ATF 136 I 229 consid. 5.3 p. 236; 134 I 140 consid. 5.3 p. 148). En l'espèce, le recourant s'est contenté de produire, dans la procédure d'opposition et en instance cantonale, un certificat du docteur C.________, spécialiste en chirurgie générale (du 11 décembre 2009), lequel ne fait état d'aucun élément objectif qui n'ait été pris en compte par les docteurs E.________, G.________ et P.________. Ainsi, les premiers juges ne disposaient d'aucun indice attesté médicalement qui pût mettre en doute ces appréciations ni faire suspecter la survenance d'une aggravation de nature à nécessiter la mise en oeuvre d'une instruction complémentaire. On ne saurait dès lors reprocher à la juridiction précédente une violation de la maxime d'instruction d'office consacrée à l' art. 61 let . c LPGA.</w:t>
      </w:r>
    </w:p>
    <w:p>
      <w:r>
        <w:rPr>
          <w:b/>
        </w:rPr>
        <w:t>E. 5</w:t>
      </w:r>
    </w:p>
    <w:p>
      <w:r>
        <w:t>Vu ce qui précède, le jugement attaqué n'est pas critiquable et le recours se révèle mal fondé.</w:t>
      </w:r>
    </w:p>
    <w:p>
      <w:r>
        <w:rPr>
          <w:b/>
        </w:rPr>
        <w:t>E. 6</w:t>
      </w:r>
    </w:p>
    <w:p>
      <w:r>
        <w:t>Le recourant, qui satisfait aux conditions de l' art. 64 al. 1 LTF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