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8C_75/2025 vom 12. März 2025</w:t>
      </w:r>
    </w:p>
    <w:p>
      <w:r>
        <w:t>Bundesgericht, 2025-03-12, DE</w:t>
      </w:r>
    </w:p>
    <w:p>
      <w:r>
        <w:rPr>
          <w:b/>
        </w:rPr>
        <w:t xml:space="preserve">Quelle: </w:t>
      </w:r>
      <w:r>
        <w:t>https://mcp.opencaselaw.ch/entscheid/bger_8C_75_2025</w:t>
      </w:r>
    </w:p>
    <w:p>
      <w:r>
        <w:t>FR: TF 8C_75/2025 du 12 mars 2025</w:t>
      </w:r>
    </w:p>
    <w:p>
      <w:r>
        <w:t>IT: TF 8C_75/2025 del 12 marzo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2</w:t>
      </w:r>
    </w:p>
    <w:p>
      <w:r>
        <w:t>Zunächst trat das Verwaltungsgericht des Kantons Zug (Urteil vom 16. Oktober 2024) und in der Folge, nach Weiterleitung der Akten an das Sozialversicherungsgericht des Kantons Zürich, auch Letzteres (Beschluss vom 15. Januar 2025) auf eine Beschwerde gegen den Einspracheentscheid der Schweizerischen Unfallversicherungsanstalt (Suva) vom 5. September 2024 mangels örtlicher Zuständigkeit nicht ein (vgl. zu dieser Konstellation BGE 143 V 363 E. 2).</w:t>
      </w:r>
    </w:p>
    <w:p>
      <w:r>
        <w:rPr>
          <w:b/>
        </w:rPr>
        <w:t>E. 3</w:t>
      </w:r>
    </w:p>
    <w:p>
      <w:r>
        <w:t>Mit der dagegen beim Bundesgericht erhobenen Beschwerde vom 4. Februar 2025 wird einzig "Einspruch" geltend gemacht. Sie enthält abgesehen davon weder einen Antrag noch wird auf die Begründung im angefochtenen Urteil bzw. Beschluss Bezug genommen. Auf die Mitteilung des Bundesgerichts vom 6. Februar 2025, worin der Beschwerdeführer auf die gesetzlichen Formerfordernisse von Beschwerden hinsichtlich Begehren und Begründung sowie auf die nur innert der Rechtsmittelfrist noch bestehende Verbesserungsmöglichkeit hingewiesen wurde, erfolgte keine Reaktion.</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