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8C_75/2010 vom 1. April 2010</w:t>
      </w:r>
    </w:p>
    <w:p>
      <w:r>
        <w:t>Bundesgericht, 2010-04-01, DE</w:t>
      </w:r>
    </w:p>
    <w:p>
      <w:r>
        <w:rPr>
          <w:b/>
        </w:rPr>
        <w:t xml:space="preserve">Quelle: </w:t>
      </w:r>
      <w:r>
        <w:t>https://mcp.opencaselaw.ch/entscheid/bger_8C_75_2010</w:t>
      </w:r>
    </w:p>
    <w:p>
      <w:r>
        <w:t>FR: TF 8C_75/2010 du 1 avril 2010</w:t>
      </w:r>
    </w:p>
    <w:p>
      <w:r>
        <w:t>IT: TF 8C_75/2010 del 1 aprile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sowie bei psychischen Fehlentwicklungen nach Unfall ( BGE 115 V 133 E. 6c/aa S. 140; vgl. auch BGE 134 V 109 E. 6.1 S. 116), zutreffend dargelegt. Darauf wird verwiesen.</w:t>
      </w:r>
    </w:p>
    <w:p>
      <w:r>
        <w:rPr>
          <w:b/>
        </w:rPr>
        <w:t>E. 3</w:t>
      </w:r>
    </w:p>
    <w:p>
      <w:r>
        <w:t>Der Beschwerdeführer reicht letztinstanzlich einen neuen Arztbericht ein (Stellungnahme des Dr. med. A.________, Spezialarzt FMH für Otorhinolaryngologie, Hals-und Gesichtschirurgie vom 22. Januar 2010). Gemäss Art. 99 Abs. 1 BGG dürfen neue Tatsachen und Beweismittel nur so weit vorgebracht werden, als erst der Entscheid der Vorinstanz dazu Anlass gibt. Dies gilt auch im Verfahren um Zusprechung oder Verweigerung von Geldleistungen der Militär- und Unfallversicherung ( BGE 135 V 194 E. 3 S. 196 f.). Diese Voraussetzung ist hier nicht erfüllt, da Dr. med. A.________ sich bereits in einem ausführlichen audio-neurootologischen Bericht vom 5. Februar 2008 geäussert hatte.</w:t>
      </w:r>
    </w:p>
    <w:p>
      <w:r>
        <w:rPr>
          <w:b/>
        </w:rPr>
        <w:t>E. 4</w:t>
      </w:r>
    </w:p>
    <w:p>
      <w:r>
        <w:t>Der Beschwerdeführer macht zunächst geltend, dass anhand der von Dr. med. A.________ gemäss Bericht vom 5. Februar 2008 durchgeführten dynamischen Posturographie eine organisch objektive Ursache der beschriebenen Schwindelbeschwerden, der visuellen Symptomatik sowie der Cervico-Cephalgien nachgewiesen sei.</w:t>
      </w:r>
    </w:p>
    <w:p>
      <w:r>
        <w:t>Dem kann nicht gefolgt werden. Das Bundesgericht hat sich bereits mehrfach - wie von der Vorinstanz richtig dargelegt - ausführlich zu der auch von Dr. med. A.________ angewandten Untersuchungsmethode geäussert und festgehalten, dass die Posturographie keine Unfallfolge organisch objektiv auszuweisen vermag (vgl. insb. Urteil 8C_614/2007 vom 10. Juli 2008 E. 4.3). Zwar können damit bestimmte Informationen gewonnen werden und lassen sich sonst nicht fassbare Gleichgewichtsstörungen objektivieren. Die Posturographie vermag jedoch keine direkten Aussagen zur Ätiologie eines Leidens und zu dessen allfälliger Unfallkausalität zu machen (Urteil U 197/04 vom 29. März 2006 E. 3.2 und seither ergangene Rechtsprechung: Urteile 8C_964/2008 vom 1. September 2009 E. 3.2.3; 8C_115/2009 vom 28. Juli 2009 E. 5.1; 8C_614/2007 vom 10. Juli 2008 E. 4.3; 8C_53/2007 vom 25. Februar 2008 E. 6.3; U 395/06 vom 5. Oktober 2007 E. 4.1). Auf die diesbezüglichen Einwände des Beschwerdeführers ist daher nicht weiter einzugehen.</w:t>
      </w:r>
    </w:p>
    <w:p>
      <w:r>
        <w:t>Zudem geht aus dem genannten Bericht hervor, dass die komplexe klinische Symptomatik des Patienten anhand der Untersuchung plausibel erklärt werden könne, womit indessen auch nicht mit der erforderlichen überwiegenden Wahrscheinlichkeit ( BGE 126 V 353 E. 5b S. 360, 125 V 193 E. 2 S. 195) erstellt ist, dass die Gleichgewichtsstörungen unfallbedingt sind. Selbst wenn diese im Übrigen erst nach dem Unfall aufgetreten sind, kann daraus nicht der Schluss gezogen werden, dass sie durch den Unfall verursacht worden seien, denn die Argumentation "post hoc ergo propter hoc" ist beweisrechtlich nicht zulässig (vgl. BGE 119 V 335 E. 2b/bb S. 341 f.; SVR 2008 UV Nr. 11 S. 34, U 290/06 E. 4.2.3). Es ist unter diesen Umständen auch der Frage, wann die Schwindelbeschwerden erstmals aufgetreten sind, nicht weiter nachzugehen.</w:t>
      </w:r>
    </w:p>
    <w:p>
      <w:r>
        <w:t>Es wird in diesem Zusammenhang weiter geltend gemacht, dass sich der Beschwerdeführer eine milde traumatische Hirnverletzung (MTBI) zugezogen habe. Dafür bestehen nach Lage der Akten keine Anhaltspunkte, zumal bereits gemäss Einschätzung der untersuchenden Ärztin im Spital X.________ am Unfalltag keine commotio cerebri vorlag. Diesbezügliche beweismässige Weiterungen können unterbleiben, wenn die adäquate Kausalität der organisch objektiv nicht ausgewiesenen Beschwerden ohnehin zu verneinen ist (Urteil 8C_42/2007 vom 14. April 2008 E. 2 Ingress).</w:t>
      </w:r>
    </w:p>
    <w:p>
      <w:r>
        <w:rPr>
          <w:b/>
        </w:rPr>
        <w:t>E. 5</w:t>
      </w:r>
    </w:p>
    <w:p>
      <w:r>
        <w:t>Verwaltung und Vorinstanz sind davon ausgegangen, dass die psychische Problematik beim Beschwerdeführer im Vordergrund steht, weshalb die Adäquanzbeurteilung nach der Rechtsprechung zu den psychischen Unfallfolgen vorzunehmen war ( BGE 123 V 98 E. 2a S. 99). Der adäquate Kausalzusammenhang der noch geklagten Beschwerden mit dem Unfall vom 29. Juli 2005 wurde mit Blick auf das als mittelschwer im Grenzbereich zu den leichten Unfällen zu qualifizierende Ereignis und unter Annahme, das keines der zu berücksichtigenden Kriterien erfüllt sei, verneint ( BGE 115 V 133 E. 6 und 7 S. 139 ff.). Mit diesen Erwägungen setzt sich der Beschwerdeführer nicht auseinander, weshalb sich Weiterungen dazu erübrigen. Damit entfällt eine weitergehende Leistungspflicht der SUVA.</w:t>
      </w:r>
    </w:p>
    <w:p>
      <w:r>
        <w:rPr>
          <w:b/>
        </w:rPr>
        <w:t>E. 6</w:t>
      </w:r>
    </w:p>
    <w:p>
      <w:r>
        <w:t>Es wird schliesslich die Zusprechung der Kosten für die letztinstanzlich neu eingereichte Stellungnahme des Dr. med. A.________ beantragt. Gemäss Art. 45 Abs. 1 ATSG sind die Kosten privat eingeholter Gutachten dann zu vergüten, wenn die Parteiexpertise für die Entscheidfindung unerlässlich war.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 Diese Voraussetzung ist nicht erfüllt (vgl. oben E. 3).</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