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8C_759/2025 vom 4. Februar 2026</w:t>
      </w:r>
    </w:p>
    <w:p>
      <w:r>
        <w:t>Bundesgericht, 2026-02-04, DE</w:t>
      </w:r>
    </w:p>
    <w:p>
      <w:r>
        <w:rPr>
          <w:b/>
        </w:rPr>
        <w:t xml:space="preserve">Quelle: </w:t>
      </w:r>
      <w:r>
        <w:t>https://mcp.opencaselaw.ch/entscheid/bger_8C_759_2025</w:t>
      </w:r>
    </w:p>
    <w:p>
      <w:r>
        <w:t>FR: TF 8C_759/2025 du 4 février 2026</w:t>
      </w:r>
    </w:p>
    <w:p>
      <w:r>
        <w:t>IT: TF 8C_759/2025 del 4 febbraio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8C_759/2025</w:t>
      </w:r>
    </w:p>
    <w:p>
      <w:r>
        <w:t>Urteil vom 4. Februar 2026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 vertreten durch B.________,</w:t>
      </w:r>
    </w:p>
    <w:p>
      <w:r>
        <w:t>Beschwerdeführerin,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Beschluss des Sozialversicherungsgerichts des Kantons Zürich vom 3. Dezember 2025 (IV.2025.00742).</w:t>
      </w:r>
    </w:p>
    <w:p>
      <w:r>
        <w:t>Nach Einsicht</w:t>
      </w:r>
    </w:p>
    <w:p>
      <w:r>
        <w:t>in die Beschwerde vom 22. Dezember 2025 gegen den Nichteintretensbeschluss des Sozialversicherungsgerichts des Kantons Zürich vom 3. Dezember 2025,</w:t>
      </w:r>
    </w:p>
    <w:p>
      <w:r>
        <w:t>in Erwägung,</w:t>
      </w:r>
    </w:p>
    <w:p>
      <w:r>
        <w:t>dass die Beschwerdeführerin den ihr vom Gericht gemäss Art. 42 Abs. 5 BGG angezeigten Formmangel der fehlenden Beilagen (vollständiger angefochtener Entscheid) nicht innerhalb der mit Verfügung vom 8. Januar 2026 angesetzten, am 19. Januar 2025 abgelaufenen ( Art. 44 - 48 BGG ) Nachfrist behoben hat,</w:t>
      </w:r>
    </w:p>
    <w:p>
      <w:r>
        <w:t>dass die Beschwerde überdies den Minimalanforderungen an eine Rechtsmittelbegründung gemäss Art. 42 Abs. 2 BGG offensichtlich nicht genügt, da darin mit keinen Wort auf das vorinstanzliche Nichteintreten eingegangen wird (vgl. BGE 123 V 335 ),</w:t>
      </w:r>
    </w:p>
    <w:p>
      <w:r>
        <w:t>dass deshalb im vereinfachten Verfahren nach Art. 108 Abs. 1 lit. a und b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4. Februar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