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8C_759/2023 vom 22. Dezember 2023</w:t>
      </w:r>
    </w:p>
    <w:p>
      <w:r>
        <w:t>Bundesgericht, 2023-12-22, IT</w:t>
      </w:r>
    </w:p>
    <w:p>
      <w:r>
        <w:rPr>
          <w:b/>
        </w:rPr>
        <w:t xml:space="preserve">Quelle: </w:t>
      </w:r>
      <w:r>
        <w:t>https://mcp.opencaselaw.ch/entscheid/bger_8C_759_2023</w:t>
      </w:r>
    </w:p>
    <w:p>
      <w:r>
        <w:t>FR: TF 8C_759/2023 du 22 décembre 2023</w:t>
      </w:r>
    </w:p>
    <w:p>
      <w:r>
        <w:t>IT: TF 8C_759/2023 del 22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22 dicembre 2023</w:t>
      </w:r>
    </w:p>
    <w:p>
      <w:r>
        <w:t>In nome della IV Corte di diritto pubblico</w:t>
      </w:r>
    </w:p>
    <w:p>
      <w:r>
        <w:t>del Tribunale federale svizzero</w:t>
      </w:r>
    </w:p>
    <w:p>
      <w:r>
        <w:t>Il Presidente: Wirthlin</w:t>
      </w:r>
    </w:p>
    <w:p>
      <w:r>
        <w:t>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