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8C_759/2021 vom 18. November 2021</w:t>
      </w:r>
    </w:p>
    <w:p>
      <w:r>
        <w:t>Bundesgericht, 2021-11-18, DE</w:t>
      </w:r>
    </w:p>
    <w:p>
      <w:r>
        <w:rPr>
          <w:b/>
        </w:rPr>
        <w:t xml:space="preserve">Quelle: </w:t>
      </w:r>
      <w:r>
        <w:t>https://mcp.opencaselaw.ch/entscheid/bger_8C_759_2021</w:t>
      </w:r>
    </w:p>
    <w:p>
      <w:r>
        <w:t>FR: TF 8C_759/2021 du 18 novembre 2021</w:t>
      </w:r>
    </w:p>
    <w:p>
      <w:r>
        <w:t>IT: TF 8C_759/2021 del 18 novembre 2021</w:t>
      </w:r>
    </w:p>
    <w:p>
      <w:pPr>
        <w:pStyle w:val="Heading2"/>
      </w:pPr>
      <w:r>
        <w:t>Volltext</w:t>
      </w:r>
    </w:p>
    <w:p>
      <w:r>
        <w:t>Bundesgericht</w:t>
      </w:r>
    </w:p>
    <w:p>
      <w:r>
        <w:t>Tribunal fédéral</w:t>
      </w:r>
    </w:p>
    <w:p>
      <w:r>
        <w:t>Tribunale federale</w:t>
      </w:r>
    </w:p>
    <w:p>
      <w:r>
        <w:t>Tribunal federal</w:t>
      </w:r>
    </w:p>
    <w:p>
      <w:r>
        <w:t>8C_759/2021</w:t>
      </w:r>
    </w:p>
    <w:p>
      <w:r>
        <w:t>Urteil vom 18. November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Kantonsgerichts Luzern vom 4. Oktober 2021 (5V 21 68).</w:t>
      </w:r>
    </w:p>
    <w:p>
      <w:r>
        <w:t>Nach Einsicht</w:t>
      </w:r>
    </w:p>
    <w:p>
      <w:r>
        <w:t>in die Beschwerde vom 12. November 2021 gegen das Urteil des Kantonsgerichts Luzern vom 4. Oktober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im angefochtenen Entscheid unter Verweis auf die massgeblichen Gesetzesbestimmungen und die Rechtsprechung ( Art. 25 und Art. 31 Abs. 1 ATSG ; BGE 138 V 218 E. 4 mit Hinweis) näher erörtert ist, weshalb der Erlass der Rückforderung der zu Unrecht zu viel bezogenen Übergangsentschädigung für den Zeitraum vom 1. Februar 2016 bis 31. Januar 2020 von Fr. 67'666.80 ausser Frage steht,</w:t>
      </w:r>
    </w:p>
    <w:p>
      <w:r>
        <w:t>dass die Vorinstanz dabei den guten Glauben der Beschwerdeführerin beim Leistungsbezug verneinte und insbesondere ausführte, weshalb sie aus den von ihr geltend gemachten psychischen Beschwerden nichts zu ihren Gunsten ableiten könne und inwieweit die Behauptung, die Beschwerdegegnerin stets auf dem Laufenden gehalten zu haben, im Einklang mit den Akten stünde,</w:t>
      </w:r>
    </w:p>
    <w:p>
      <w:r>
        <w:t>dass die Beschwerdeführerin auf diese massgeblichen Erwägungen nicht hinreichend eingeht, indem sie sich darauf beschränkt, die bei ihr gestellten, von der Vorinstanz aufgegriffenen, psychiatrischen Diagnosen (erneut) anzurufen und diese allgemein zu kommentieren sowie den vorinstanzlichen Feststellungen zur Meldepflichtverletzung allein (erneut) die Behauptung entgegen zu halten, der Beschwerdegegnerin immer telefonisch Auskunft gegeben zu haben,</w:t>
      </w:r>
    </w:p>
    <w:p>
      <w:r>
        <w:t>dass damit den eingangs aufgezeigten minimalen Begründungsanforderungen offensichtlich nicht Genüge getan ist,</w:t>
      </w:r>
    </w:p>
    <w:p>
      <w:r>
        <w:t>dass deshalb im vereinfachten Verfahren nach Art. 108 Abs. 1 lit. b BGG auf die Beschwerde nicht einzutreten ist,</w:t>
      </w:r>
    </w:p>
    <w:p>
      <w:r>
        <w:t>dass die Beschwerdeschrift im Übrigen nicht eigenhändig unterzeichnet ist (Näheres dazu: Art. 42 Abs.1 in Verbindung mit Abs. 5 BGG),</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18.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