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8C_759/2011 vom 12. Dezember 2011</w:t>
      </w:r>
    </w:p>
    <w:p>
      <w:r>
        <w:t>Bundesgericht, 2011-12-12, IT</w:t>
      </w:r>
    </w:p>
    <w:p>
      <w:r>
        <w:rPr>
          <w:b/>
        </w:rPr>
        <w:t xml:space="preserve">Quelle: </w:t>
      </w:r>
      <w:r>
        <w:t>https://mcp.opencaselaw.ch/entscheid/bger_8C_759_2011</w:t>
      </w:r>
    </w:p>
    <w:p>
      <w:r>
        <w:t>FR: TF 8C_759/2011 du 12 décembre 2011</w:t>
      </w:r>
    </w:p>
    <w:p>
      <w:r>
        <w:t>IT: TF 8C_759/2011 del 12 dicembre 2011</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 non è pertanto vincolato né agli argomenti sollevati nel ricorso né ai motivi addotti dall'autorità precedente.</w:t>
      </w:r>
    </w:p>
    <w:p>
      <w:r>
        <w:rPr>
          <w:b/>
        </w:rPr>
        <w:t>E. 2</w:t>
      </w:r>
    </w:p>
    <w:p>
      <w:r>
        <w:t>Giusta l' art. 17 cpv. 1 LPGA , se il grado d'invalidità del beneficiario della rendita subisce una notevole modificazione, per il futuro la rendita è aumentata o ridotta proporzionalmente o soppressa, d'ufficio o su richiesta. A norma dell' art. 22 LAINF , in deroga all' art. 17 cpv. 1 LPGA , la rendita non può più essere riveduta dal mese in cui gli uomini compiono 65 anni e le donne 62 (su quest'ultimo aspetto, irrilevante nella fattispecie, vedi DTF 134 V 131 ).</w:t>
      </w:r>
    </w:p>
    <w:p>
      <w:r>
        <w:rPr>
          <w:b/>
        </w:rPr>
        <w:t>E. 3</w:t>
      </w:r>
    </w:p>
    <w:p>
      <w:r>
        <w:t>Unico oggetto del contendere è la questione di sapere se l'assicuratore infortuni ricorrente abbia o meno violato la disposizione dell' art. 22 LAINF .</w:t>
      </w:r>
    </w:p>
    <w:p>
      <w:r>
        <w:rPr>
          <w:b/>
        </w:rPr>
        <w:t>E. 4</w:t>
      </w:r>
    </w:p>
    <w:p>
      <w:r>
        <w:t>La legge è da interpretare in primo luogo procedendo dalla sua lettera. Ora, come giustamente rilevato dall'assicuratore ricorrente, mentre il testo italiano dell' art. 22 LAINF sancisce che la rendita non può più essere riveduta "dal" mese in cui gli uomini compiono 65 anni, le versioni tedesca e francese della norma parlano chiaramente di "nach dem Monat", rispettivamente "après le mois". La disposizione deve essere quindi intesa nel senso che la rendita spettante ad una persona assicurata di sesso maschile non può più essere riveduta a partire dal mese seguente il compimento dei 65 anni, determinante al riguardo essendo incontestatamente il momento dell'introduzione della procedura di revisione - introduzione che necessariamente deve essere stata comunicata al beneficiario della prestazione - e non già quello della resa della rispettiva decisione, che può avvenire ulteriormente ( DTF 103 V 30 consid. 2 pag. 31; Maurer, Schweizerisches Unfallversicherungsrecht, Berna 1985, pag. 393; Ghélew/Ramelet/Ritter, Commentaire de la loi sur l'assurance-accidents, pag. 116). Nulla in senso contrario emerge comunque dai lavori preparatori, segnatamente dal Messaggio 18 agosto 1976 del Consiglio federale sull'assicurazione contro gli infortuni (FF 1976 III 210). Anzi, ci si deve basare sulla fine del mese anche per il fatto che il diritto a una rendita di vecchiaia AVS giusta l' art. 21 cpv. 2 LAVS , che sostituisce il reddito decrescente o cessante dell'attività lucrativa, nasce il giorno successivo, venendo meno quindi la possibilità di comparare i redditi in materia di rendite d'invalidità dell'assicurazione contro gli infortuni.</w:t>
      </w:r>
    </w:p>
    <w:p>
      <w:r>
        <w:t>In concreto l'assicurato ha compiuto i 65 anni in data 11 agosto 2007. Ora, risulta dagli atti di causa che la SWICA, mediante scritto del 29 agosto 2007, lo ha sufficientemente informato che la rendita in suo favore sarebbe stata soggetta a revisione in concomitanza con l'assegnazione della rendita AVS (spettantegli a decorrere dal 1° settembre 2007; art. 21 cpv. 2 LAVS ). Ne segue, che l'insorgente, avendo agito in tempo utile entro i limiti temporali posti dall' art. 22 LAINF , contrariamente al parere della Corte cantonale, non è incorsa in una violazione della disposizione in oggetto.</w:t>
      </w:r>
    </w:p>
    <w:p>
      <w:r>
        <w:rPr>
          <w:b/>
        </w:rPr>
        <w:t>E. 5</w:t>
      </w:r>
    </w:p>
    <w:p>
      <w:r>
        <w:t>Alla luce delle suesposte considerazioni, il ricorso merita di essere accolto, mentre la pronuncia impugnata deve essere annullata, gli atti essendo rinviati alla precedente istanza affinché esamini se fossero o meno adempiuti in concreto i presupposti materiali per sopprimere la rendita a partire dal 1° luglio 2009, ai sensi dell' art. 17 cpv. 1 LPGA .</w:t>
      </w:r>
    </w:p>
    <w:p>
      <w:r>
        <w:rPr>
          <w:b/>
        </w:rPr>
        <w:t>E. 6</w:t>
      </w:r>
    </w:p>
    <w:p>
      <w:r>
        <w:t>Le spese seguono la soccombenza e sono poste a carico dell'opponente ( art. 66 cpv. 1 LTF ). L'assicuratore ricorrente non ha per contro diritto al rimborso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