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8C_755/2014 vom 30. Januar 2015</w:t>
      </w:r>
    </w:p>
    <w:p>
      <w:r>
        <w:t>Bundesgericht, 2015-01-30, DE</w:t>
      </w:r>
    </w:p>
    <w:p>
      <w:r>
        <w:rPr>
          <w:b/>
        </w:rPr>
        <w:t xml:space="preserve">Quelle: </w:t>
      </w:r>
      <w:r>
        <w:t>https://mcp.opencaselaw.ch/entscheid/bger_8C_755_2014</w:t>
      </w:r>
    </w:p>
    <w:p>
      <w:r>
        <w:t>FR: TF 8C_755/2014 du 30 janvier 2015</w:t>
      </w:r>
    </w:p>
    <w:p>
      <w:r>
        <w:t>IT: TF 8C_755/2014 del 30 gennaio 2015</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w:t>
      </w:r>
    </w:p>
    <w:p>
      <w:r>
        <w:rPr>
          <w:b/>
        </w:rPr>
        <w:t>E. 2.1</w:t>
      </w:r>
    </w:p>
    <w:p>
      <w:r>
        <w:t>Die Beschwerde in öffentlich-rechtlichen Angelegenheiten kann wegen Rechtsverletzung gemäss Art. 95 f. BGG erhoben werden. Der vorinstanzliche Entscheid stützt sich in der Sache auf kantonales Recht. Als Beschwerdegrund kommt deshalb hauptsächlich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verstösst (vgl. BGE 133 II 249 E. 1.2.1 S. 251 f.).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261 f. ; 129 I 113 E. 2.1 S. 120; je mit Hinweisen; Urteile 8C_787/2011 vom 28. Februar 2012 E. 2.1 und 8C_294/2011 vom 29. Dezember 2011 E. 2.1, nicht publ. in: BGE 138 I 113 ).</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geradezu in die Augen springen (Urteile 8C_787/2011 vom 28. Februar 2012 E. 2.2 und 8C_294/2011 vom 29. Dezember 2011 E. 2.2 mit Hinweisen, nicht publ. in: BGE 138 I 113 ).</w:t>
      </w:r>
    </w:p>
    <w:p>
      <w:r>
        <w:rPr>
          <w:b/>
        </w:rPr>
        <w:t>E. 3</w:t>
      </w:r>
    </w:p>
    <w:p>
      <w:r>
        <w:t>Das kantonale Gericht hat sich einlässlich mit dem vom Beschwerdeführer gegen gewisse Mitglieder des Spruchkörpers gestellten Ausstandsbegehren befasst und aufgezeigt, weshalb keine Ausstandsgründe im Sinne von § 5a des Verwaltungsrechtspflegegesetzes des Kantons Zürich vom 24. Mai 1959 (VRG; LS 175.2) vorliegen. Die diesbezüglich vom Beschwerdeführer gerügte Verletzung von Art. 30 Abs. 1 BV und Art. 6 Ziff. 1 EMRK bzw. willkürliche Vorgehensweise ist vor dem Hintergrund der betreffenden vorinstanzlichen Erwägungen nicht erkennbar.</w:t>
      </w:r>
    </w:p>
    <w:p>
      <w:r>
        <w:rPr>
          <w:b/>
        </w:rPr>
        <w:t>E. 4</w:t>
      </w:r>
    </w:p>
    <w:p>
      <w:r>
        <w:t>In der Beschwerde werden ferner, wie bereits im vorangegangenen Verfahren, durch die Beschwerdegegnerin wie auch den Bezirksrat begangene Verletzungen des rechtlichen Gehörs geltend gemacht.</w:t>
      </w:r>
    </w:p>
    <w:p>
      <w:r>
        <w:rPr>
          <w:b/>
        </w:rPr>
        <w:t>E. 4.1</w:t>
      </w:r>
    </w:p>
    <w:p>
      <w:r>
        <w:t>Soweit der Beschwerdeführer beanstandet, weder die Beschwerdegegnerin noch der Bezirksrat hätten ihm vor Erlass ihrer Beschlüsse Akteneinsicht gewährt, ist ebenfalls auf die Ausführungen im kantonalen Entscheid Bezug zu nehmen. Danach hat die Beschwerdegegnerin den Beschwerdeführer gemäss Aktennotiz vom 23. September 2011 am 23. August 2011 sowohl zum anrechenbaren Mietzins wie auch zum Grundbedarf angehört und konnte er sich dazu im verwaltungsinternen Rekursverfahren umfassend äussern. Aus den Akten ist sodann nicht ersichtlich, dass die Beschwerdegegnerin oder der Bezirksrat ein vom Beschwerdeführer gestelltes Ersuchen um Akteneinsicht abschlägig beschieden hätten. Sollte der Umstand, dass der Bezirksrat trotz ausdrücklich gestelltem Antrag nicht auf das Recht auf Akteneinsichtnahme am Amtssitz hingewiesen hat, eine geringfügige Verletzung des rechtlichen Gehörs darstellen, erwiese sie sich durch die im Beschwerdeprozess formell eröffnete und nicht wahrgenommene Möglichkeit der Akteneinsicht jedenfalls als geheilt.</w:t>
      </w:r>
    </w:p>
    <w:p>
      <w:r>
        <w:rPr>
          <w:b/>
        </w:rPr>
        <w:t>E. 4.2</w:t>
      </w:r>
    </w:p>
    <w:p>
      <w:r>
        <w:t>Von einer Rückweisung der Sache an den Bezirksrat infolge des durch diesen verletzten Replikrechts des Beschwerdeführers kann im Weiteren aus den vom kantonalen Gericht dargelegten Gründen abgesehen werden. Weiterungen dazu erübrigen sich.</w:t>
      </w:r>
    </w:p>
    <w:p>
      <w:r>
        <w:rPr>
          <w:b/>
        </w:rPr>
        <w:t>E. 5.1</w:t>
      </w:r>
    </w:p>
    <w:p>
      <w:r>
        <w:t>Im angefochtenen Entscheid wurde unter Hinweis auf die massgebliche Rechtslage (so insbesondere § 14 des Sozialhilfegesetzes des Kantons Zürich vom 14. Juni 1981 [SHG; LS 851.1], §§ 17 und 22 der Sozialhilfeverordnung des Kantons Zürich vom 21. Oktober 1981 [SHV; LS 851.11] sowie die Richtlinien für die Ausgestaltung und Bemessung der Sozialhilfe der Schweizerischen Konferenz für Sozialhilfe [SKOS-Richtlinien]) eingehend erwogen, es sei nicht zu beanstanden, den Beschwerdeführer und seine Mutter (bis zu deren Tod) unterstützungsrechtlich als keine Unterstützungseinheit bildende "familienähnliche Gemeinschaft" zu qualifizieren. Für den Beschwerdeführer als zu unterstützende Person sei deshalb ein individuelles Unterstützungskonto zu führen. Nicht unterstützte Personen - wie hier die (verstorbene) Mutter des Beschwerdeführers - hätten alle Kosten, die sie verursachten, selber zu tragen. Dies betreffe insbesondere die Aufwendungen für den Grundbedarf, die Wohnkosten und die situationsbedingten Leistungen. Die entsprechenden Kosten würden innerhalb der Gemeinschaft grundsätzlich nach Pro-Kopf-Anteilen getragen. Der Grundbedarf für den Lebensunterhalt werde nach der Anzahl Personen in einem gemeinsam geführten Haushalt festgesetzt und betrage nach den SKOS-Richtlinien für einen Zweipersonenhaushalt pro Person Fr. 735.- bzw. - für die Stadt Kloten ab 1. Dezember 2011 - Fr. 748.-. Laut dem Handbuch der Sozialhilfe Kloten solle der Mietzins für einen Zweipersonenhaushalt maximal Fr. 1'400.- pro Monat betragen. Die am 30. September 2011 durch die Beschwerdegegnerin beschlossene Anrechnung eines Grundbedarfs von Fr. 735.- und von Wohnkosten in der Höhe von Fr. 700.- im Unterstützungsbudget des Beschwerdeführers sei vor diesem Hintergrund als rechtmässig einzustufen. Schliesslich komme eine ausnahmsweise rückwirkende Ausrichtung von Sozialhilfeleistungen nicht in Betracht, da keine diesbezüglich vorausgesetzte bestehende oder drohende Notlage vorliege.</w:t>
      </w:r>
    </w:p>
    <w:p>
      <w:r>
        <w:rPr>
          <w:b/>
        </w:rPr>
        <w:t>E. 5.2</w:t>
      </w:r>
    </w:p>
    <w:p>
      <w:r>
        <w:t>Was dagegen - zumal nur sehr rudimentär - in der Beschwerde vorgebracht wird, vermag die durch das Bundesgericht nur eingeschränkt überprüfbaren vorinstanzlichen Feststellungen nicht in einem willkürlichen oder sonst wie qualifiziert rechtsfehlerhaften Licht erscheinen zu lassen.</w:t>
      </w:r>
    </w:p>
    <w:p>
      <w:r>
        <w:rPr>
          <w:b/>
        </w:rPr>
        <w:t>E. 6</w:t>
      </w:r>
    </w:p>
    <w:p>
      <w:r>
        <w:t>Was die vom Beschwerdeführer als willkürlicher Gesetzesverstoss monierte Verweigerung der unentgeltlichen Rechtspflege durch die Vorinstanz anbelangt, ist das Bundesgericht auf eine gegen die entsprechende Präsidialverfügung vom 20. März 2012 erhobene Beschwerde mangels Leistung des angesetzten Kostenvorschusses nicht eingetreten (Urteil 8C_405/2012 vom 31. Oktober 2012). Auch in dieser Hinsicht kann somit auf weitergehende Ausführungen verzichtet werden.</w:t>
      </w:r>
    </w:p>
    <w:p>
      <w:r>
        <w:rPr>
          <w:b/>
        </w:rPr>
        <w:t>E. 7.1</w:t>
      </w:r>
    </w:p>
    <w:p>
      <w:r>
        <w:t>Die Beschwerde erweist sich nach dem Gesagten als offensichtlich unbegründet. Sie wird daher im vereinfachten Verfahren nach Art. 109 Abs. 2 lit. a BGG - ohne Durchführung eines Schriftenwechsels, mit summarischer Begründung und unter Verweis auf den kantonalen Entscheid ( Art. 102 Abs. 1 und Art. 109 Abs. 3 BGG ) - erledigt.</w:t>
      </w:r>
    </w:p>
    <w:p>
      <w:r>
        <w:rPr>
          <w:b/>
        </w:rPr>
        <w:t>E. 7.2</w:t>
      </w:r>
    </w:p>
    <w:p>
      <w:r>
        <w:t>Die Gerichtskosten sind dem unterliegenden Beschwerdeführer aufzuerlegen ( Art. 66 Abs. 1 Satz 1 BGG ). Sein Gesuch um unentgeltliche Rechtspflege ist mit Verfügung vom 7. November 2014 infolge Aussichtslosigkeit des Rechtsbegehrens abgewiesen worden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