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8C_752/2021 vom 15. März 2022</w:t>
      </w:r>
    </w:p>
    <w:p>
      <w:r>
        <w:t>Bundesgericht, 2022-03-15, DE</w:t>
      </w:r>
    </w:p>
    <w:p>
      <w:r>
        <w:rPr>
          <w:b/>
        </w:rPr>
        <w:t xml:space="preserve">Quelle: </w:t>
      </w:r>
      <w:r>
        <w:t>https://mcp.opencaselaw.ch/entscheid/bger_8C_752_2021</w:t>
      </w:r>
    </w:p>
    <w:p>
      <w:r>
        <w:t>FR: TF 8C_752/2021 du 15 mars 2022</w:t>
      </w:r>
    </w:p>
    <w:p>
      <w:r>
        <w:t>IT: TF 8C_752/2021 del 15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bundesrechtskonform in Bestätigung des Einspracheentscheids vom 10. Februar 2021 einen Anspruch auf Kurzarbeitsentschädigung verneint hat.</w:t>
      </w:r>
    </w:p>
    <w:p>
      <w:r>
        <w:rPr>
          <w:b/>
        </w:rPr>
        <w:t>E. 3</w:t>
      </w:r>
    </w:p>
    <w:p>
      <w:r>
        <w:t>Das kantonale Gericht hat die diesbezüglich massgebenden Rechtsgrundlagen zutreffend wiedergegeben, worauf verwiesen wird ( Art. 109 Abs. 3 BGG ).</w:t>
      </w:r>
    </w:p>
    <w:p>
      <w:r>
        <w:rPr>
          <w:b/>
        </w:rPr>
        <w:t>E. 4.1</w:t>
      </w:r>
    </w:p>
    <w:p>
      <w:r>
        <w:t>Die Vorinstanz hat erkannt, dass eine behördliche Einschränkung für Zahnarztpraxen nur zu Beginn der Pandemie bestanden habe. Ab dem 27. April 2020 sei es den ambulanten medizinischen Praxen mit einem geeigneten Schutzkonzept gemäss Art. 6a Abs. 1 der Verordnung 2 vom 13. März 2020 über Massnahmen zur Bekämpfung des Coronavirus (Covid-19; Covid-19-Verordnung 2, SR 818.101.24; aufgehoben am 22. Juni 2020), in der Fassung vom 16. April 2020, wieder möglich gewesen, ihren normalen Betrieb aufzunehmen. Somit hätten während der hier relevanten Periode (4. November bis 31. Dezember 2020) keine behördlichen Restriktionen vorgelegen. Bereits deshalb könne nicht gehört werden, die Corona-Pandemie sei kausal zur Praxisschliessung ab November 2020 gewesen.</w:t>
      </w:r>
    </w:p>
    <w:p>
      <w:r>
        <w:t>Weiter hat das kantonale Gericht erwogen, 2020 seien einzig während der ersten Pandemiewelle die "besonders gefährdeten Personen" speziell geschützt und in der Covid-19-Verordnung 2 besonderen Regeln unterworfen gewesen. Mit der Aufhebung dieser Verordnung sei dieser besondere Schutz dahingefallen. In diesem Sinne habe das Staatssekretariat für Wirtschaft (SECO) in seinen laufend aktualisierten Weisungen "Sonderregelungen aufgrund der Pandemie" (Ziff. 2.9 der Weisung 2020/12) betreffend Kurzarbeitsentschädigung vorgesehen, dass der Umstand einer besonders gefährdeten Person nur für die Abrechnungsperioden März 2020 bis Juni 2020 habe berücksichtigt werden können.</w:t>
      </w:r>
    </w:p>
    <w:p>
      <w:r>
        <w:t>Auch wenn der Beschwerdeführer eine besonders gefährdete Person im Sinne von Art. 10b in Verbindung mit Anhang 6 der Covid-19-Verordnung 2 sei, könne seine gesundheitliche Situation für den Anspruch auf Kurzarbeitsentschädigung gemäss Vorinstanz nicht berücksichtigt werden. Denn im hier relevanten Zeitraum (4. November bis 31. Dezember 2020) sei die Verordnung bereits seit mehreren Monaten aufgehoben gewesen, wie das kantonale Gericht erkannt hat.</w:t>
      </w:r>
    </w:p>
    <w:p>
      <w:r>
        <w:rPr>
          <w:b/>
        </w:rPr>
        <w:t>E. 4.2</w:t>
      </w:r>
    </w:p>
    <w:p>
      <w:r>
        <w:t>Was der Beschwerdeführer dagegen vorbringt, verfängt nicht. Die Vorinstanz hat sich mit dem Argument, er habe seine Zahnarztpraxis pandemiebedingt schliessen müssen, bereits auseinandergesetzt und weder offensichtlich unrichtig noch sonstwie bundesrechtswidrig (vgl. E. 1 oben) dargelegt, dass während der hier relevanten Periode keine behördlichen Restriktionen bestanden hätten, aufgrund derer die Schliessung der Zahnarztpraxis notwendig gewesen wäre. Dies stellt der Beschwerdeführer denn auch nicht in Abrede. Auch mit dem Hinweis, er sei gemäss seinem Hausarzt eine besonders gefährdete Person, kann der Beschwerdeführer nichts zu seinen Gunsten ableiten. Das kantonale Gericht hat sich auch mit diesem Vorbringen befasst und erwogen, die gesundheitliche Situation des Beschwerdeführers könne für den Anspruch auf Kurzarbeitsentschädigung nicht berücksichtigt werden, da die Covid-19-Verordnung 2 im hier relevanten Zeitraum bereits seit mehreren Monaten aufgehoben gewesen sei. Inwieweit die Vorinstanz dabei in Willkür verfallen sein soll (vgl. BGE 144 V 50 E. 4.2 mit Hinweisen), legt der Beschwerdeführer nicht dar und ist auch nicht ersichtlich. Ebenso wenig ist dargetan oder ohne Weiteres erkennbar, dass die nach Aufhebung der betreffenden Verordnung befolgte Verwaltungspraxis (Weisung 2020/12 des SECO) Bundesrecht ( Art. 32 Abs. 3 AVIG ; Art. 51 AVIV ) verletzen würde. Es lässt sich daher nicht beanstanden, dass das kantonale Gericht die Beschwerde gegen den Einspracheentscheid vom 10. Februar 2021 abgewiesen hat. Mithin bleibt es beim angefochtenen Urteil.</w:t>
      </w:r>
    </w:p>
    <w:p>
      <w:r>
        <w:rPr>
          <w:b/>
        </w:rPr>
        <w:t>E. 5</w:t>
      </w:r>
    </w:p>
    <w:p>
      <w:r>
        <w:t>Die Beschwerde ist offensichtlich unbegründet. Folglich wird sie im vereinfachten Verfahren nach Art. 109 Abs. 2 lit. a BGG ohne Durchführung eines Schriftenwechsels, mit summarischer Begründung und unter Hinweis auf den kantonalen Gerichtsentscheid ( Art. 109 Abs. 3 BGG ) erledigt.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