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752/2010 vom 27. Januar 2011</w:t>
      </w:r>
    </w:p>
    <w:p>
      <w:r>
        <w:t>Bundesgericht, 2011-01-27, DE</w:t>
      </w:r>
    </w:p>
    <w:p>
      <w:r>
        <w:rPr>
          <w:b/>
        </w:rPr>
        <w:t xml:space="preserve">Quelle: </w:t>
      </w:r>
      <w:r>
        <w:t>https://mcp.opencaselaw.ch/entscheid/bger_8C_752_2010</w:t>
      </w:r>
    </w:p>
    <w:p>
      <w:r>
        <w:t>FR: TF 8C 752/2010 du 27 janvier 2011</w:t>
      </w:r>
    </w:p>
    <w:p>
      <w:r>
        <w:t>IT: TF 8C 752/2010 del 27 gennaio 2011</w:t>
      </w:r>
    </w:p>
    <w:p>
      <w:pPr>
        <w:pStyle w:val="Heading2"/>
      </w:pPr>
      <w:r>
        <w:t>Regeste</w:t>
      </w:r>
    </w:p>
    <w:p>
      <w:r>
        <w:t>Invalidenversicherung (Wiedererwägung)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w:t>
      </w:r>
    </w:p>
    <w:p>
      <w:r>
        <w:rPr>
          <w:b/>
        </w:rPr>
        <w:t>E. 2</w:t>
      </w:r>
    </w:p>
    <w:p>
      <w:r>
        <w:t>Nach Art. 53 Abs. 2 ATSG kann der Versicherungsträger auf formell rechtskräftige Verfügungen oder Einspracheentscheide zurückkommen, wenn die ursprüngliche Rentenzusprechung nach damaliger Sach- und Rechtslage (vgl. BGE 125 V 383 E. 3 S. 389; Urteil 9C_655/2007 vom 4. Januar 2008 E. 2 mit Hinweis) zweifellos unrichtig war und - was auf periodische Dauerleistungen regelmässig zutrifft (vgl. BGE 119 V 475 E. 1c S. 480 mit Hinweisen; SVR 2001 IV Nr. 1 S. 3, I 401/98 E. 5c; Urteil 8C_769/2010 vom 12. November 2010 E. 2.2)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9C_339/2010 vom 30. November 2010 E. 3, 9C_760/2010 vom 17. November 2010 E. 2, 9C_575/2007 vom 18. Oktober 2007 mit Hinweisen). Die Wiedererwägung im Sinne von Art. 53 Abs. 2 ATSG dient der Korrektur einer anfänglich unrichtigen Rechtsanwendung einschliesslich unrichtiger Feststellung im Sinne der Würdigung des Sachverhalts ( BGE 117 V 8 E. 2c S. 17 mit Hinweis; SVR 2006 IV Nr. 21 S. 74, I 545/02 E. 1.2; Urteil 9C_215/2007 vom 2. Juli 2007 E. 3.1). Darunter fällt insbesondere eine unvollständige Sachverhaltsabklärung aufgrund einer klaren Verletzung des Untersuchungsgrundsatzes (vgl. Art. 43 Abs. 1 ATSG und Art. 61 lit. c ATSG ; Urteil 9C_466/2010 vom 23. August 2010 E. 3.2.2 mit Hinweis).</w:t>
      </w:r>
    </w:p>
    <w:p>
      <w:r>
        <w:rPr>
          <w:b/>
        </w:rPr>
        <w:t>E. 3</w:t>
      </w:r>
    </w:p>
    <w:p>
      <w:r>
        <w:t>Streitig ist, ob die IV-Stelle zu Recht die ursprünglich mit Wirkung ab 1. November 2004 zugesprochene halbe Invalidenrente ex nunc et pro futuro ab März 2009 wiedererwägungsweise auf eine Viertelsrente herabgesetzt hat.</w:t>
      </w:r>
    </w:p>
    <w:p>
      <w:r>
        <w:rPr>
          <w:b/>
        </w:rPr>
        <w:t>E. 3.1</w:t>
      </w:r>
    </w:p>
    <w:p>
      <w:r>
        <w:t>Die Beschwerdeführerin bestreitet nicht, 1985 freiwillig das Erwerbspensum auf 80 % reduziert zu haben. Sie behauptet auch nicht, und es sind keine Anhaltspunkte dafür ersichtlich, dass sie im Gesundheitsfall noch vor der ursprünglichen Rentenzusprache ihr Erwerbspensum wieder auf 100 % erhöht hätte. Die von der Versicherten angedeutete "Möglichkeit" einer entsprechenden Pensenerhöhung lässt nicht auf eine solche Änderung des hypothetischen Erwerbspensums als Gesunde schliessen.</w:t>
      </w:r>
    </w:p>
    <w:p>
      <w:r>
        <w:rPr>
          <w:b/>
        </w:rPr>
        <w:t>E. 3.2</w:t>
      </w:r>
    </w:p>
    <w:p>
      <w:r>
        <w:t>Ausgehend davon hat das kantonale Gericht mit Blick auf BGE 131 V 51 die Frage nach der Wahl der anwendbaren Invaliditätsbemessungsmethode ( Art. 28a IVG [vgl. Art. 28 Abs. 2 IVG in der bis 31. Dezember 2007 gültig gewesenen Fassung) - hier entweder die gemischte Methode oder die allgemeine Methode des Einkommensvergleichs bzw. einer Untervariante davon (vgl. BGE 131 V 51 E. 5.1.2 S. 53 mit Hinweisen) - offen gelassen mit der Begründung, dass unter den gegebenen Umständen beide Bemessungsmethoden zu einem Invaliditätsgrad führen, welcher nur einen Anspruch auf eine Viertelsrente begründet. Die Beschwerdegegnerin habe bei der ursprünglichen Rentenzusprache 2004 rechtsfehlerhaft auf die Angaben der SUVA abgestellt und sei - entgegen der klaren Aktenlage - offensichtlich irrtümlich von einer zu 100 % Erwerbstätigen ausgegangen. Dementsprechend habe die IV-Stelle das hypothetische Valideneinkommen zweifellos unrichtig auf der Basis einer Erwerbstätigkeit mit vollem Pensum, statt zutreffend auf der Grundlage einer aus privaten Gründen seit 1985 auf 80 % reduzierten Teilerwerbstätigkeit ermittelt.</w:t>
      </w:r>
    </w:p>
    <w:p>
      <w:r>
        <w:rPr>
          <w:b/>
        </w:rPr>
        <w:t>E. 3.3</w:t>
      </w:r>
    </w:p>
    <w:p>
      <w:r>
        <w:t>Für die zweifellose Unrichtigkeit der ursprünglichen Invaliditätsgradermittlung war gemäss angefochtenem Entscheid nicht die Wahl der Invaliditätsbemessungsmethode ausschlaggebend, sondern die unzutreffende Bestimmung des Valideneinkommens nach Massgabe einer im Gesundheitsfall hypothetisch ausgeübten vollen Erwerbstätigkeit. Trotz eines aktenkundig klar ausgewiesenen Erwerbspensums von 80 %, welches die Versicherte bis zum Eintritt des Gesundheitsschadens unstrittig ausgeübt hatte, und obwohl die Beschwerdeführerin selber nie in Abrede stellte, sondern nach Angaben laut Haushaltsabklärungsbericht vom 26. Mai 2008 sogar ausdrücklich bestätigte, dass sie auch als Gesunde ihr bisheriges 80 %-Pensum unverändert fortgesetzt hätte, stützte sich die Beschwerdegegnerin bei der ursprünglichen Rentenzusprache gemäss "Feststellungsblatt für den Beschluss" der IV-Stelle vom 1. Dezember 2005 ohne Auseinandersetzung mit den für die Invalidenversicherung relevanten Einkommensverhältnissen auf die von der SUVA berücksichtigten Faktoren ab und übernahm so - ohne Durchführung eines eigenen Einkommensvergleichs - den identischen Invaliditätsgrad der SUVA von 53 %. Dieser beruht hinsichtlich des Valideneinkommens mit Blick auf den unfallversicherungsrechtlich massgebenden Einkommensvergleich - trotz des erfüllten 80 %-Pensums im Zeitpunkt des Unfalles - zu Recht auf der Basis einer vollen Ausnützung der Verdienstmöglichkeiten, mithin einer Vollerwerbstätigkeit ( BGE 119 V 475 E. 2b S. 481; Urteil 8C_664/2007 vom 14. April 2008 E. 6.2 und 7.2.4 mit Hinweisen), während die Invalidenversicherung das Valideneinkommen sowohl in Anwendung von BGE 131 V 51 E. 5.1.2 S. 53 als auch im Rahmen der gemischten Methode von Art. 28a Abs. 3 IVG nach Massgabe der ohne Gesundheitsschädigung ausgeübten Teilerwerbstätigkeit festzulegen hat.</w:t>
      </w:r>
    </w:p>
    <w:p>
      <w:r>
        <w:rPr>
          <w:b/>
        </w:rPr>
        <w:t>E. 3.4</w:t>
      </w:r>
    </w:p>
    <w:p>
      <w:r>
        <w:t>Soweit die Versicherte rügt, es sei nicht zweifellos unrichtig, dass sie als Gesunde im ursprünglichen Verfügungszeitpunkt ein Valideneinkommen aus einer vollzeitlichen Erwerbstätigkeit erzielt hätte, macht sie geltend, eine entsprechende Aufstockung des Erwerbspensums von 80 % auf 100 % sei "durchaus möglich und plausibel" bzw. "nicht ausgeschlossen" gewesen. In den Akten finden sich jedoch keinerlei Hinweise dafür, dass die Beschwerdeführerin vor der ursprünglichen Rentenzusprache im Gesundheitsfall ihr angestammtes Erwerbspensum von 80 % auf 100 % erhöht hätte. Angesichts der betreffend Feststellung des Erwerbspensums klaren Missachtung der offenkundigen Verhältnisse in tatsächlicher Hinsicht ist kein vernünftiger Zweifel daran möglich, dass die ursprüngliche Verfügung unrichtig war. Wie mit angefochtenem Entscheid korrekt erkannt, hat die Beschwerdegegnerin daher zu Recht die Rentenzusprache von 2004 in Wiedererwägung gezogen.</w:t>
      </w:r>
    </w:p>
    <w:p>
      <w:r>
        <w:rPr>
          <w:b/>
        </w:rPr>
        <w:t>E. 3.5</w:t>
      </w:r>
    </w:p>
    <w:p>
      <w:r>
        <w:t>Nachdem die Versicherte für den Fall der Annahme eines hypothetisch auch ohne Gesundheitsschaden ausgeübten 80 %-igen Erwerbspensums mit dementsprechend festzulegendem Valideneinkommen keine Einwände gegen den von der IV-Stelle ermittelten und vorinstanzlich - sowohl in Anwendung der gemischten Methode von Art. 28a Abs. 3 IVG als auch nach der Praxis von BGE 131 V 51 (vgl. dazu E. 4.4 des angefochtenen Entscheids) - bestätigten IV-Grad von jedenfalls weniger als 50 % erhebt, bleibt es bei der mit angefochtenem Entscheid geschützten wiedererwägungsweisen Herabsetzung der halben auf eine Viertelsrente per 1. März 2009.</w:t>
      </w:r>
    </w:p>
    <w:p>
      <w:r>
        <w:rPr>
          <w:b/>
        </w:rPr>
        <w:t>E. 4</w:t>
      </w:r>
    </w:p>
    <w:p>
      <w:r>
        <w:t>Dem Ausgang dieses kostenpflichtigen Verfahrens (Art. 65 Abs. 1 und Abs. 4 lit. a BGG)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