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8C_751/2025 vom 21. Januar 2026</w:t>
      </w:r>
    </w:p>
    <w:p>
      <w:r>
        <w:t>Bundesgericht, 2026-01-21, DE</w:t>
      </w:r>
    </w:p>
    <w:p>
      <w:r>
        <w:rPr>
          <w:b/>
        </w:rPr>
        <w:t xml:space="preserve">Quelle: </w:t>
      </w:r>
      <w:r>
        <w:t>https://mcp.opencaselaw.ch/entscheid/bger_8C_751_2025</w:t>
      </w:r>
    </w:p>
    <w:p>
      <w:r>
        <w:t>FR: TF 8C_751/2025 du 21 janvier 2026</w:t>
      </w:r>
    </w:p>
    <w:p>
      <w:r>
        <w:t>IT: TF 8C_751/2025 del 21 gennaio 2026</w:t>
      </w:r>
    </w:p>
    <w:p>
      <w:pPr>
        <w:pStyle w:val="Heading2"/>
      </w:pPr>
      <w:r>
        <w:t>Erwägungen</w:t>
      </w:r>
    </w:p>
    <w:p>
      <w:r>
        <w:rPr>
          <w:b/>
        </w:rPr>
        <w:t>E. 1</w:t>
      </w:r>
    </w:p>
    <w:p>
      <w:r>
        <w:t>Mit Entscheid vom 19. November 2025 wies das Versicherungsgericht des Kantons St. Gallen eine Beschwerde der A.________ gegen eine rentenablehnende Verfügung der IV-Stelle des Kantons St. Gallen ab. A.________ führt Beschwerde in öffentlich-rechtlichen Angelegenheiten gegen diesen Entscheid und macht sinngemäss geltend, ihr sei unter Aufhebung desselben eine Rente der Invalidenversicherung zuzusprechen.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w:t>
      </w:r>
    </w:p>
    <w:p>
      <w:r>
        <w:t>Die Beschwerdeführerin macht im Wesentlichen geltend, aufgrund einer "Long COVID"-Erkrankung in stärkerem Ausmass, als von der Vorinstanz festgestellt, in ihrer Erwerbsfähigkeit eingeschränkt zu sein. Die Beschwerdeführerin legt indessen nicht dar, inwiefern die vorinstanzlichen Sachverhaltsfeststellungen auf einer Rechtsverletzung im Sinne von Art. 97 Abs. 1 BGG beruhen, qualifiziert unzutreffend (unhaltbar, willkürlich: BGE 150 II 346 E. 1.6; 147 IV 73 E. 4.1.2) oder die sich darauf stützenden Erwägungen rechtsfehlerhaft (vgl. Art. 95 BGG ) sein sollen. Insbesondere geht sie nicht auf die vorinstanzlichen Erwägungen ein, wonach sich die entsprechenden Feststellungen auf ein im Verfahren nach Art. 44 ATSG eingeholtes Gutachten stützen und dass rechtsprechungsgemäss von einem solchen lediglich abzuweichen ist, wenn konkrete Indizien gegen die Schlüssigkeit der Expertise sprechen ( BGE 135 V 465 E. 4.4).</w:t>
      </w:r>
    </w:p>
    <w:p>
      <w:r>
        <w:rPr>
          <w:b/>
        </w:rPr>
        <w:t>E. 4</w:t>
      </w:r>
    </w:p>
    <w:p>
      <w:r>
        <w:t>Damit genügt die Eingabe der Beschwerdeführerin den gesetzlichen Anforderungen an eine Beschwerde offensichtlich nicht. Auf das Rechtsmittel ist im vereinfachten Verfahren nach Art. 108 Abs. 1 lit. b BGG nicht einzutreten.</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