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8C_750/2017 vom 20. Februar 2018</w:t>
      </w:r>
    </w:p>
    <w:p>
      <w:r>
        <w:t>Bundesgericht, 2018-02-20, DE</w:t>
      </w:r>
    </w:p>
    <w:p>
      <w:r>
        <w:rPr>
          <w:b/>
        </w:rPr>
        <w:t xml:space="preserve">Quelle: </w:t>
      </w:r>
      <w:r>
        <w:t>https://mcp.opencaselaw.ch/entscheid/bger_8C_750_2017</w:t>
      </w:r>
    </w:p>
    <w:p>
      <w:r>
        <w:t>FR: TF 8C_750/2017 du 20 février 2018</w:t>
      </w:r>
    </w:p>
    <w:p>
      <w:r>
        <w:t>IT: TF 8C_750/2017 del 20 febbraio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Die Verletzung von Grundrechten und von kantonalem und interkantonalem Recht prüft es zudem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Der kantonale Entscheid bestätigt einen Nichteintretensentscheid des Departementes. Selbst bei einer Gutheissung der Beschwerde könnte das Bundesgericht daher nicht materiell entscheiden, sondern lediglich das Departement zu einem Eintreten auf die Eingaben des Beschwerdeführers verhalten. Soweit mit der Beschwerde ein materieller Entscheid verlangt wird, ist nicht auf sie einzutreten.</w:t>
      </w:r>
    </w:p>
    <w:p>
      <w:r>
        <w:rPr>
          <w:b/>
        </w:rPr>
        <w:t>E. 2</w:t>
      </w:r>
    </w:p>
    <w:p>
      <w:r>
        <w:t>Gegenstand des vorinstanzlichen Verfahrens war einzig die Frage, ob das Departement zu Recht auf die Eingaben des Beschwerdeführers nicht eingetreten ist. Zu Recht nicht geprüft hat das Verwaltungsgericht demgegenüber die Frage, ob eine Barauszahlung der materiellen Hilfe zulässig ist oder ob diese allenfalls gegen den Gemeinderatsbeschluss vom 2. November 2015 verstösst. Soweit in der Beschwerde sinngemäss geltend gemacht wird, das Verwaltungsgericht habe diese Frage zu Unrecht nicht geprüft, ist die Beschwerde ohne weiteres abzuweisen.</w:t>
      </w:r>
    </w:p>
    <w:p>
      <w:r>
        <w:rPr>
          <w:b/>
        </w:rPr>
        <w:t>E. 3</w:t>
      </w:r>
    </w:p>
    <w:p>
      <w:r>
        <w:t>Das kantonale Gericht hat erwogen, das Departement habe bereits aus dem Grund auf die Eingaben des Beschwerdeführers nicht eintreten dürfen, weil die Einladung vom 1. Dezember 2016 nicht als anfechtbare Verfügung zu qualifizieren sei und es demgemäss an einem Anfechtungsobjekt fehle. Da der Beschwerdeführer zudem vor Beschwerdeerhebung zu keinem Zeitpunkt eine Verfügung zur Frage der Zulässigkeit der Barauszahlung verlangt habe, könne die Beschwerde auch nicht als Rechtsverweigerungsbeschwerde betrachtet werden. Der Beschwerdeführer bringt dagegen im Wesentlichen vor, die Frage des tauglichen Anfechtungsobjekts sei im unterinstanzlichen Verfahren nicht streitig gewesen, weshalb das Verwaltungsgericht diese Frage nicht habe überprüfen dürfen. Inwiefern das Vorgehen des kantonalen Gerichts bundesrechtswidrig gewesen sein sollte, ist nicht ersichtlich. Der Beschwerdeführer behauptet zwar eine Verletzung verfassungsmässiger Rechte durch die Vorinstanz, begründet indessen die behauptete Verletzung nicht in einer Art. 106 Abs. 2 BGG genügenden Weise. Darüber hinaus sind die Rügen des Beschwerdeführers auch insofern aktenwidrig, als das Departement in seinem Entscheid vom 23. Februar 2017 das Nichteintreten unter anderem damit begründete, das Schreiben vom 1. Dezember 2016 sei lediglich eine unverbindliche Einladung gewesen, womit implizit der Verfügungscharakter verneint wurde. Der Beschwerdeführer bringt im Weiteren nichts vor, was die Verneinung des Verfügungscharakters des Schreibens vom 1. Dezember 2016 oder die Feststellung, er habe vor Beschwerdeerhebung keine formelle Verfügung über die Zulässigkeit der Barauszahlung verlangt, als bundesrechtswidrig erscheinen lassen würden. Das Verwaltungsgericht hat demnach nicht gegen Bundesrecht verstossen, als es den Nichteintretensentscheid des Departements geschützt hat.</w:t>
      </w:r>
    </w:p>
    <w:p>
      <w:r>
        <w:rPr>
          <w:b/>
        </w:rPr>
        <w:t>E. 4</w:t>
      </w:r>
    </w:p>
    <w:p>
      <w:r>
        <w:t>Das kantonale Gericht hat das Gesuch des Beschwerdeführers um unentgeltliche Rechtspflege wegen Aussichtslosigkeit abgewiesen. Prozessbegehren sind praxisgemäss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Obwohl das Departement auf seine Eingaben nicht eingetreten war, setzte sich der Beschwerdeführer in seiner Beschwerde an das kantonale Gericht nicht mit den formellen Fragen auseinander, sondern argumentierte im Wesentlichen materiell. Damit waren bereits vor Vorinstanz die Gewinnaussichten beträchtlich geringer als die Verlustgefahren. Die Abweisung des Gesuchs um unentgeltliche Rechtspflege durch die Vorinstanz ist demgemäss nicht zu beanstanden; die Beschwerde ist auch in diesem Punkt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