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74/2025 vom 24. Februar 2025</w:t>
      </w:r>
    </w:p>
    <w:p>
      <w:r>
        <w:t>Bundesgericht, 2025-02-24, DE</w:t>
      </w:r>
    </w:p>
    <w:p>
      <w:r>
        <w:rPr>
          <w:b/>
        </w:rPr>
        <w:t xml:space="preserve">Quelle: </w:t>
      </w:r>
      <w:r>
        <w:t>https://mcp.opencaselaw.ch/entscheid/bger_8C_74_2025</w:t>
      </w:r>
    </w:p>
    <w:p>
      <w:r>
        <w:t>FR: TF 8C 74/2025 du 24 février 2025</w:t>
      </w:r>
    </w:p>
    <w:p>
      <w:r>
        <w:t>IT: TF 8C 74/2025 del 24 febbraio 2025</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nicht interessierenden Ausnahmen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Nichteintretensurteil angefochten, setzt dies eine spezifische Auseinandersetzung mit den Nichteintretensgründen voraus ( BGE 123 V 335 ).</w:t>
      </w:r>
    </w:p>
    <w:p>
      <w:r>
        <w:rPr>
          <w:b/>
        </w:rPr>
        <w:t>E. 2</w:t>
      </w:r>
    </w:p>
    <w:p>
      <w:r>
        <w:t>Das kantonale Gericht bestätigte mit Urteil vom 17. Dezember 2024 das auf kantonalem Recht beruhende Nichteintreten des Bezirksrats Zürich vom 19. September 2024 auf den gegen den Entscheid der Beschwerdegegnerin vom 11. Dezember 2023 erhobenen Rekurs. Dabei legte es in Auseinandersetzung mit den Parteivorbringen und in Würdigung der Akten dar, weshalb die Rekursfrist als vor der Rekurserhebung abgelaufen zu betrachten sei. Sodann führte es näher aus, dass die vom Beschwerdeführer geltend gemachten Umstände, insbesondere das geschilderte Verhalten der Beschwerdegegnerin, weder eine neue Rechtsmittelfrist eröffnet noch eine Vertrauensgrundlage geschaffen habe, die das Entgegennehmen des ausserhalb der Rechtsmittelfrist eingereichten Rekurses gebiete. Dem Verfahrensausgang entsprechend auferlegte das kantonale Gericht die Gerichtsgebühr von Fr. 570.- dem Beschwerdeführer.</w:t>
      </w:r>
    </w:p>
    <w:p>
      <w:r>
        <w:rPr>
          <w:b/>
        </w:rPr>
        <w:t>E. 3</w:t>
      </w:r>
    </w:p>
    <w:p>
      <w:r>
        <w:t>Der Beschwerdeführer wiederholt - soweit den Nichteintretensbeschluss des Bezirksrats vom 19. September 2024 betreffend - in weiten Teilen das bereits vor Vorinstanz Vorgetragene. I nwiefern die von der Vorinstanz dazu getroffenen Feststellungen offensichtlich unrichtig im Sinne von Art. 97 Abs. 1 BGG , das heisst willkürlich ( BGE 146 IV 88 E. 1.3.1 f.; 140 III 115 E. 2; je mit Hinweisen), sein könnten, führt er nicht aus. Genauso wenig legt er dar, inwieweit die darauf beruhenden Erwägungen gegen Bundesrecht verstossen oder einen anderen Beschwerdegrund (vgl. Art. 95 lit. a-e BGG ) gesetzt haben sollen. Was die vorinstanzliche Kostenauflage betrifft, beanstandet der Beschwerdeführer das Fehlen eines vorgängigen Hinweises auf die Kostenrisiken, ohne indessen aufzuzeigen, inwiefern sich das Vorgehen des kantonalen Gerichts deswegen als verfassungs- oder bundesrechtswidrig erweisen soll.</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Beschwerde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