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749/2022 vom 31. Januar 2023</w:t>
      </w:r>
    </w:p>
    <w:p>
      <w:r>
        <w:t>Bundesgericht, 2023-01-31, FR</w:t>
      </w:r>
    </w:p>
    <w:p>
      <w:r>
        <w:rPr>
          <w:b/>
        </w:rPr>
        <w:t xml:space="preserve">Quelle: </w:t>
      </w:r>
      <w:r>
        <w:t>https://mcp.opencaselaw.ch/entscheid/bger_8C_749_2022</w:t>
      </w:r>
    </w:p>
    <w:p>
      <w:r>
        <w:t>FR: TF 8C 749/2022 du 31 janvier 2023</w:t>
      </w:r>
    </w:p>
    <w:p>
      <w:r>
        <w:t>IT: TF 8C 749/2022 del 31 gennaio 2023</w:t>
      </w:r>
    </w:p>
    <w:p>
      <w:pPr>
        <w:pStyle w:val="Heading2"/>
      </w:pPr>
      <w:r>
        <w:t>Regeste</w:t>
      </w:r>
    </w:p>
    <w:p>
      <w:r>
        <w:t>Assurance-chômage (condition de recevabilité) | Assurance-chômage</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138 I 171 consid. 1.4).</w:t>
      </w:r>
    </w:p>
    <w:p>
      <w:r>
        <w:rPr>
          <w:b/>
        </w:rPr>
        <w:t>E. 2.1</w:t>
      </w:r>
    </w:p>
    <w:p>
      <w:r>
        <w:t>Dans leur arrêt du 22 novembre 2022, les juges cantonaux ont retenu que l'intimée avait nié à bon droit le droit de la recourante aux indemnités en cas de RHT pour la période du 20 avril au 19 octobre 2021, au motif que B.________ et C.________, nommés administrateurs de la société le 1 er avril 2021, ne pouvaient plus à compter de cette date prétendre au versement des indemnités en question en application de l' art. 31 al. 3 let . c LACI (RS 837.0). La cour cantonale a en outre constaté que les conditions de la restitution des prestations indûment touchées - au sens de l' art. 25 al. 1 LPGA (RS 830.1) - étaient réunies.</w:t>
      </w:r>
    </w:p>
    <w:p>
      <w:r>
        <w:rPr>
          <w:b/>
        </w:rPr>
        <w:t>E. 2.2</w:t>
      </w:r>
    </w:p>
    <w:p>
      <w:r>
        <w:t>Dans son écriture, la recourante se limite à rediscuter les circonstances et les raisons de la nomination de B.________ et C.________ comme administrateurs de la société le 1 er avril 2021. Elle requiert par ailleurs d'être exemptée des "jurisprudences qui s'appliquent à des SA beaucoup plus importantes qu'une simple SA de famille". Son recours ne contient toutefois aucune conclusion ni aucune critique précise à l'encontre de la motivation de la juridiction cantonale. A cet égard, elle n'expose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