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8C_749/2013 vom 6. März 2014</w:t>
      </w:r>
    </w:p>
    <w:p>
      <w:r>
        <w:t>Bundesgericht, 2014-03-06, DE</w:t>
      </w:r>
    </w:p>
    <w:p>
      <w:r>
        <w:rPr>
          <w:b/>
        </w:rPr>
        <w:t xml:space="preserve">Quelle: </w:t>
      </w:r>
      <w:r>
        <w:t>https://mcp.opencaselaw.ch/entscheid/bger_8C_749_2013</w:t>
      </w:r>
    </w:p>
    <w:p>
      <w:r>
        <w:t>FR: TF 8C_749/2013 du 6 mars 2014</w:t>
      </w:r>
    </w:p>
    <w:p>
      <w:r>
        <w:t>IT: TF 8C_749/2013 del 6 marzo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für die Beurteilung des Leistungsanspruchs massgebenden Grundlagen richtig dargelegt. Darauf wird verwiesen.</w:t>
      </w:r>
    </w:p>
    <w:p>
      <w:r>
        <w:rPr>
          <w:b/>
        </w:rPr>
        <w:t>E. 3.1</w:t>
      </w:r>
    </w:p>
    <w:p>
      <w:r>
        <w:t>Streitig und zu prüfen ist als Erstes das vom Versicherten ohne Gesundheitsschaden hypothetisch erzielbare Valideneinkommen. Für dessen Bestimmung ist entscheidend, was die versicherte Person im Zeitpunkt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Bezog die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durch eine Parallelisierung der Vergleichseinkommen Rechnung zu tragen, sofern keine Anhaltspunkte dafür bestehen, dass sie sich aus freien Stücken mit einem bescheideneren Einkommensniveau begnügen wollte ( BGE 135 V 58 E. 3.1 S. 59 und E. 3.4.1-3.4.6 S. 60 ff.). Dabei gilt der tatsächlich erzielte Verdienst als unterdurchschnittlich, wenn er mindestens um 5 % vom branchenüblichen Tabellenlohn nach der vom Bundesamt für Statistik herausgegebenen Schweizerischen Lohnstrukturerhebung (LSE) abweicht; eine Parallelisierung hat jedoch - bei Erfüllen der übrigen Voraussetzungen - nur in dem Umfang zu erfolgen, in welchem die prozentuale Abweichung den Erheblichkeitsgrenzwert von 5 % übersteigt ( BGE 135 V 297 E. 6.1.2 und 6.1.3 S. 302 ff.).</w:t>
      </w:r>
    </w:p>
    <w:p>
      <w:r>
        <w:rPr>
          <w:b/>
        </w:rPr>
        <w:t>E. 3.2.1</w:t>
      </w:r>
    </w:p>
    <w:p>
      <w:r>
        <w:t>Als Valideneinkommen ist der vom Versicherten vor dem Unfall zuletzt bei der Firma X.________ GmbH erzielte Lohn heranzuziehen; vereinbart war ein Stundenlohn von Fr. 32.-, wobei der 13. Monatslohn und die Ferienentschädigung darin inbegriffen waren. Am 5. Juni 2012 bestätigte die Firma, der Stundenlohn habe inkl. Ferien und 13. Monatslohn in den Jahren 2010 und 2011 Fr. 32.- betragen. SUVA und Vorinstanz errechneten ein Valideneinkommen von Fr. 63'920.- (Fr. 32.- x 42,5 Std. x 47 Wochen). Weiter führte die Vorinstanz aus, dieses liege um 5,4 % unter dem entsprechenden LSE-Durchschnittseinkommen im Baugewerbe von Fr. 67'562.-, weshalb das Invalideneinkommen um 0,4 % herabzusetzen sei.</w:t>
      </w:r>
    </w:p>
    <w:p>
      <w:r>
        <w:rPr>
          <w:b/>
        </w:rPr>
        <w:t>E. 3.2.2</w:t>
      </w:r>
    </w:p>
    <w:p>
      <w:r>
        <w:t>Der Versicherte wendet ein, sowohl im Arbeitsvertrag als auch auf jeder einzelnen Lohnabrechnung müssten die Zulagen für den 13. Monatslohn und die Ferienentschädigung separat ausgewiesen werden; sei dies nicht der Fall, bestehe ein klagbarer Anspruch auf diese Leistungen, zusätzlich zum vereinbarten Stundenlohn ( BGE 129 II 496 , 118 II 138, 116 II 151; Urteil 4C_420/2007 vom 2. November 2007). Dem Stundenlohn bei der Firma X.________ GmbH von Fr. 32.- seien darum die entsprechenden Zuschläge von 8,33 % für den 13. Monatslohn resp. 10,6 % für den Ferienanspruch hinzuzurechnen. Das ergebe ein Valideneinkommen von Fr. 76'604.10 (Fr. 38.35 x 42.5 Std. x 47 Wochen). Demnach erübrige sich auch eine Parallelisierung der Vergleichseinkommen.</w:t>
      </w:r>
    </w:p>
    <w:p>
      <w:r>
        <w:rPr>
          <w:b/>
        </w:rPr>
        <w:t>E. 3.3.1</w:t>
      </w:r>
    </w:p>
    <w:p>
      <w:r>
        <w:t>Unbestritten ist die Feststellung der Vorinstanz, dass der Versicherte kein arbeitsrechtliches Verfahren betreffend Lohn bei der Firma X.________ GmbH eingeleitet hat.</w:t>
      </w:r>
    </w:p>
    <w:p>
      <w:r>
        <w:rPr>
          <w:b/>
        </w:rPr>
        <w:t>E. 3.3.2</w:t>
      </w:r>
    </w:p>
    <w:p>
      <w:r>
        <w:t>Sozialversicherungsrechtlich gilt Folgendes: Es ist nicht entscheidend, ob die Invaliditätsbemessung mit Stunden-, Monats- oder Jahreswerten durchgeführt wird. Bei allen drei Vorgehensweisen ist jedoch dem Anspruch auf Ferien oder Ferien- und Feiertagsentschädigung Rechnung zu tragen (RKUV 1998 Nr. U 314 S. 572; Urteil I 585/03 vom 8. März 2004 E. 3.1.2). Sind im Lohn Ferien- und Feiertagsentschädigungen enthalten, müssen die entsprechenden Zeiten für Ferien und Feiertage von der (gesamtarbeitsvertraglich) vereinbarten Jahresarbeitszeit abgezogen werden, um das massgebende Erwerbseinkommen ermitteln zu können (Urteile 8C_700/2007 vom 18. März 2008 E. 2 und I 446/01 vom 4. April 2002 E. 2b [letztgenanntes Urteil betraf einen Stundenlohn, in dem die Ferien-/Feiertagsentschädigung und der 13. Monatslohn enthalten waren]). Es wird nicht geltend gemacht, dass die Berechnung der Vorinstanz in diesem Lichte falsch wäre, weshalb es mit dem von ihr ermittelten Valideneinkommen von Fr. 63'920.- sein Bewenden hat.</w:t>
      </w:r>
    </w:p>
    <w:p>
      <w:r>
        <w:rPr>
          <w:b/>
        </w:rPr>
        <w:t>E. 4.1</w:t>
      </w:r>
    </w:p>
    <w:p>
      <w:r>
        <w:t>Umstritten ist weiter das trotz Gesundheitsschadens erzielbare Invalideneinkommen. Bei dessen Ermittlung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 BGE 135 V 297 E. 5.2 S. 301; zur Bemessung des Invalideneinkommens nach der DAP vgl. auch BGE 139 V 592 ).</w:t>
      </w:r>
    </w:p>
    <w:p>
      <w:r>
        <w:rPr>
          <w:b/>
        </w:rPr>
        <w:t>E. 4.2</w:t>
      </w:r>
    </w:p>
    <w:p>
      <w:r>
        <w:t>Nach dem Unfall vom 3. Februar 2010 übernahm die Invalidenversicherung (IV) vom 26. April bis 31. Oktober 2011 die Kosten eines Arbeitstrainings des Versicherten bei der Firma Y.________ AG. Seit 1. November 2011 arbeitet der Versicherte bei dieser Firma zu 80 % als Aushilfe; das Arbeitspensum kann aus betrieblichen Gründen nicht erhöht werden. Unbestritten ist, dass dem Versicherten trotz seines Gesundheitsschadens eine 100%ige Erwerbstätigkeit zumutbar ist. In diesem Lichte ist der Vorinstanz beizupflichten, dass er die ihm verbleibende Arbeitsfähigkeit nicht in zumutbarer Weise voll ausschöpft, weshalb zur Bestimmung des Invalideneinkommens entweder die LSE-Tabellenlöhne oder die DAP-Zahlen heranzuziehen sind. Daran vermögen die Einwände des Versicherten, er sei durch Hilfe der IV und der SUVA "komplett" wieder ins Erwerbsleben eingegliedert worden, nichts zu ändern.</w:t>
      </w:r>
    </w:p>
    <w:p>
      <w:r>
        <w:rPr>
          <w:b/>
        </w:rPr>
        <w:t>E. 5</w:t>
      </w:r>
    </w:p>
    <w:p>
      <w:r>
        <w:t>Die Vorinstanz ermittelte das Invalideneinkommen gestützt auf die DAP und die LSE, was Fr. 64'011.- bzw. Fr. 58'999.- ergab. Sie hat richtig erkannt, dass im Vergleich mit dem Valideneinkommen von Fr. 63'920.- beidenfalls kein Rentenanspruch besteht; denn beim tieferen LSE-Einkommen von Fr. 58'999.- ergibt sich ein rentenausschliessender Invaliditätsgrad von 8 % (vgl. Art. 18 Abs. 1 UVG ). Diese Berechnungen werden nicht substanziiert bestritten, weshalb es mit dem angefochtenen Entscheid sein Bewenden hat.</w:t>
      </w:r>
    </w:p>
    <w:p>
      <w:r>
        <w:rPr>
          <w:b/>
        </w:rPr>
        <w:t>E. 6</w:t>
      </w:r>
    </w:p>
    <w:p>
      <w:r>
        <w:t>Der unterliegende Beschwerdeführer trägt die Verfahrenskosten (Art. 66 Abs. 1,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