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8C_749/2008 vom 15. Januar 2009</w:t>
      </w:r>
    </w:p>
    <w:p>
      <w:r>
        <w:t>Bundesgericht, 2009-01-15, DE</w:t>
      </w:r>
    </w:p>
    <w:p>
      <w:r>
        <w:rPr>
          <w:b/>
        </w:rPr>
        <w:t xml:space="preserve">Quelle: </w:t>
      </w:r>
      <w:r>
        <w:t>https://mcp.opencaselaw.ch/entscheid/bger_8C_749_2008</w:t>
      </w:r>
    </w:p>
    <w:p>
      <w:r>
        <w:t>FR: TF 8C_749/2008 du 15 janvier 2009</w:t>
      </w:r>
    </w:p>
    <w:p>
      <w:r>
        <w:t>IT: TF 8C_749/2008 del 15 gennaio 2009</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Beschlägt ein Rechtsstreit verschiedene Aspekte, und wird - etwa aus prozessökonomischen Gründen - über einen dieser Aspekte vorab entschieden, so handelt es sich beim Entscheid der letzten kantonalen Instanz je nach Ausgang des Verfahrens um einen End- oder um einen Vorentscheid: Wird etwa bei mehreren kumulativ zu erfüllenden Anspruchsvoraussetzungen eine dieser Voraussetzungen vorab geprüft und verneint, so wird es sich beim kantonalen Entscheid in der Regel um einen Endentscheid handeln, der gemäss Art. 90 BGG ohne weiteres anfechtbar ist. Wird demgegenüber von mehreren Anspruchsvoraussetzungen eine vorab bejaht, so handelt es sich beim kantonalen Entscheid um einen Vorentscheid (weitere Beispiele bei FELIX UHLMANN, in: Basler Kommentar zum Bundesgerichtsgesetz, Basel 2008, N 4 zu Art. 92 BGG ), welcher vor Bundesgericht nur dann anfechtbar ist, wenn die Voraussetzungen von Art. 93 BGG erfüllt sind.</w:t>
      </w:r>
    </w:p>
    <w:p>
      <w:r>
        <w:rPr>
          <w:b/>
        </w:rPr>
        <w:t>E. 1.3</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1.4</w:t>
      </w:r>
    </w:p>
    <w:p>
      <w:r>
        <w:t>Mit Verfügung vom 8. Juni 2006 und Einspracheentscheid vom 7. März 2007 verneinte die Beschwerdeführerin ihre Leistungspflicht, da das Ereignis vom 5. März 2006 nicht als Unfall im Rechtssinne zu qualifizieren sei. Das kantonale Gericht bejahte demgegenüber, dass am 5. März 2006 ein ungewöhnlicher äusserer Faktor - im Sinne einer durch eine Programmwidrigkeit gestörten, unkoordinierten Bewegung - auf den Körper des Versicherten eingewirkt hatte und wies die Sache zu weiteren medizinischen Abklärungen über die Kausalität der geklagten Beschwerden an die Versicherung zurück. Das Vorliegen eines ungewöhnlichen äusseren Faktors ist eine Anspruchsvoraussetzung unter anderen in Zusammenhang mit Leistungen der Unfallversicherung. Der kantonale Entscheid ist demnach als Vorentscheid zu qualifizieren. Hätte er Bestand, so wäre die Beschwerdeführerin unter Umständen gezwungen, eine ihres Erachtens rechtswidrige Verfügung zu erlassen, womit sie offensichtlich einen nicht wieder gutzumachenden Nachteil erlitte (vgl. Urteil 8C_554/2007 vom 20. Juni 2008 E. 1.4). Auf ihre Beschwerde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Gemäss Art. 6 Abs. 1 UVG (SR 832.20) erbringt die Unfallversicherung grundsätzlich Versicherungsleistungen bei Berufsunfällen, Nichtberufsunfällen und Berufskrankheiten. Unfall ist nach Art. 4 ATSG (SR 830.1) die plötzliche, nicht beabsichtigte schädigende Einwirkung eines ungewöhnlichen äusseren Faktors auf den menschlichen Körper, die eine Beeinträchtigung der körperlichen, geistigen oder psychischen Gesundheit oder den Tod zur Folge hat.</w:t>
      </w:r>
    </w:p>
    <w:p>
      <w:r>
        <w:rPr>
          <w:b/>
        </w:rPr>
        <w:t>E. 3.2</w:t>
      </w:r>
    </w:p>
    <w:p>
      <w:r>
        <w:t>Das für den Unfallbegriff wesentliche Merkmal des ungewöhnlichen äusseren Faktors kann nach Lehre und Praxis auch in einer unkoordinierten Bewegung bestehen. Der ungewöhnliche äussere Faktor liegt in solchen Fällen darin, dass die körperliche Bewegung durch etwas "Programmwidriges" gestört wird, was beispielsweise dann zutrifft, wenn der Versicherte stolpert, ausgleitet oder an einem Gegenstand anstösst, oder wenn er, um ein Ausgleiten zu verhindern, eine reflexartige Abwehrhaltung ausführt oder auszuführen versucht (RKUV 1999 Nr. U 345 S. 420, U 114/97 E. 2b mit Hinweisen). Bei einer solchen unkoordinierten Bewegung ist der ungewöhnliche äussere Faktor zu bejahen; denn der äussere Faktor - Veränderung zwischen Körper und Aussenwelt - ist wegen der erwähnten Programmwidrigkeit zugleich ein ungewöhnlicher Faktor ( BGE 130 V 117 E. 2.1 S. 118 mit Hinweisen).</w:t>
      </w:r>
    </w:p>
    <w:p>
      <w:r>
        <w:rPr>
          <w:b/>
        </w:rPr>
        <w:t>E. 3.3</w:t>
      </w:r>
    </w:p>
    <w:p>
      <w:r>
        <w:t>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2a S. 47 mit Hinweisen). Dabei handelt es sich indessen nicht um eine förmliche Beweisregel, sondern lediglich um eine im Rahmen der freien Beweiswürdigung zu berücksichtigende Entscheidungshilfe. Sie kann zudem nur dann zur Anwendung gelangen, wenn von zusätzlichen Beweismassnahmen keine neuen Erkenntnisse zu erwarten sind (RKUV 2004 Nr. U 524 S. 546, U 236/03 E. 3.3.4).</w:t>
      </w:r>
    </w:p>
    <w:p>
      <w:r>
        <w:rPr>
          <w:b/>
        </w:rPr>
        <w:t>E. 4</w:t>
      </w:r>
    </w:p>
    <w:p>
      <w:r>
        <w:t>Streitig ist die Leistungspflicht der Beschwerdeführerin für die Folgen des Ereignisses vom 5. März 2006. Zu prüfen ist, ob an diesem Tag ein ungewöhnlicher äusserer Faktor auf den Körper des Versicherten eingewirkt hat.</w:t>
      </w:r>
    </w:p>
    <w:p>
      <w:r>
        <w:rPr>
          <w:b/>
        </w:rPr>
        <w:t>E. 5.1</w:t>
      </w:r>
    </w:p>
    <w:p>
      <w:r>
        <w:t>Es steht fest und ist unbestritten, dass die Rückenbeschwerden des Versicherten auftraten, als er, in Sorge um die Rosen seiner Nachbarin, einen etwa 15-20 cm dicken, weit ausladenden und mit einer grossen Schneemenge beladenen Ast wegzudrücken suchte. Die Vorinstanz hat erwogen, dass dieses Wegdrücken des Astes durch eine Programmwidrigkeit - das plötzliche Nachgeben bzw. Brechen des Astes - gestört wurde, womit das Erfordernis des ungewöhnlichen äusseren Faktors im Sinne einer unkoordinierten Bewegung erfüllt sei. Die Beschwerdeführerin macht geltend, der Versuch, den Ast wegzudrücken, sei aufgrund dessen Dicke nur dann erfolgversprechend gewesen, wenn der Versicherte darum wusste, dass der Ast bereits beschädigt war. Die Vorgehensweise lasse darauf schliessen, dass der Beschwerdegegner den Ast habe abbrechen wollen; das Brechen desselben habe somit keine Programmwidrigkeit dargestellt, sondern sei der Zweck seines Krafteinsatzes gewesen. Damit liege keine Einwirkung eines ungewöhnlichen äusseren Faktors auf den Körper des Versicherten vor; das Ereignis sei deshalb nicht als Unfall zu qualifizieren.</w:t>
      </w:r>
    </w:p>
    <w:p>
      <w:r>
        <w:rPr>
          <w:b/>
        </w:rPr>
        <w:t>E. 5.2</w:t>
      </w:r>
    </w:p>
    <w:p>
      <w:r>
        <w:t>Wie das kantonale Gericht zutreffend ausgeführt hat, ist es nicht entscheidend, ob der Versicherte bereits wusste, dass der Ast beschädigt war. Entgegen der Ansicht der Beschwerdeführerin ist letztlich auch nicht erheblich, ob der Versicherte den Ast abbrechen wollte oder nicht. Entscheidend ist demgegenüber, ob der Ast zu einem Zeitpunkt nachgegeben hat, in dem der Beschwerdegegner nicht - oder allenfalls noch nicht - mit dem Brechen rechnete. Erstmals genauer zum Hergang befragt, gab der Versicherte am 19. April 2006 - mithin etwa sechs Wochen nach dem Ereignis - zu Protokoll, er habe sich dem Ast entgegengestemmt, als dieser plötzlich nachgegeben habe. Mit der Verwendung des Adverbes "plötzlich" brachte er sinngemäss auch zum Ausdruck, dass das Nachgeben des Astes für ihn überraschend eingetreten ist. Was die Beschwerdeführerin vorbringt, vermag keine Zweifel an dieser Aussage des Versicherten zu begründen. Wurde dieser vom Brechen des Astes überrascht, so stellt das Nachgeben eine Programmwidrigkeit dar, welche seine körperliche Bewegung - das Wegstemmen des Astes - unterbrochen hat. Der äussere Faktor in der Veränderung zwischen Körper des Versicherten und Aussenwelt ist aufgrund dieser Programmwidrigkeit als aussergewöhnlich zu qualifizieren.</w:t>
      </w:r>
    </w:p>
    <w:p>
      <w:r>
        <w:rPr>
          <w:b/>
        </w:rPr>
        <w:t>E. 5.3</w:t>
      </w:r>
    </w:p>
    <w:p>
      <w:r>
        <w:t>Wirkte am 5. März 2006 ein ungewöhnlicher äusserer Faktor im Sinne einer unkoordinierten Bewegung auf den Körper des Versicherten ein, so ist nicht zu beanstanden, dass die Vorinstanz die Sache zu weiteren Abklärungen, ob die geklagten Beschwerden auf diesen Faktor zurückzuführen sind, an die Beschwerdeführerin zurückgewiesen hat. Die Beschwerde ist somit abzuweisen.</w:t>
      </w:r>
    </w:p>
    <w:p>
      <w:r>
        <w:rPr>
          <w:b/>
        </w:rPr>
        <w:t>E. 6</w:t>
      </w:r>
    </w:p>
    <w:p>
      <w:r>
        <w:t>Das Verfahren ist kostenpflichtig ( Art. 65 BGG ). Als unterliegende Partei hat die Beschwerdeführerin die Gerichtskosten zu tragen ( Art. 66 Abs. 1 BGG ; BGE 133 V 642 E. 5). Sie hat dem Beschwerdegegner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