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748/2015 vom 9. Februar 2016</w:t>
      </w:r>
    </w:p>
    <w:p>
      <w:r>
        <w:t>Bundesgericht, 2016-02-09, DE</w:t>
      </w:r>
    </w:p>
    <w:p>
      <w:r>
        <w:rPr>
          <w:b/>
        </w:rPr>
        <w:t xml:space="preserve">Quelle: </w:t>
      </w:r>
      <w:r>
        <w:t>https://mcp.opencaselaw.ch/entscheid/bger_8C_748_2015</w:t>
      </w:r>
    </w:p>
    <w:p>
      <w:r>
        <w:t>FR: TF 8C 748/2015 du 9 février 2016</w:t>
      </w:r>
    </w:p>
    <w:p>
      <w:r>
        <w:t>IT: TF 8C 748/2015 del 9 febbraio 2016</w:t>
      </w:r>
    </w:p>
    <w:p>
      <w:pPr>
        <w:pStyle w:val="Heading2"/>
      </w:pPr>
      <w:r>
        <w:t>Regeste</w:t>
      </w:r>
    </w:p>
    <w:p>
      <w:r>
        <w:t>Arbeitslosenversicherung (Insolvenzentschädigung)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 Die konkrete Beweiswürdigung ist Tatfrage ( BGE 132 V 393 E. 3.2 S. 397; nicht publ. E. 4.1 des Urteils BGE 135 V 254 , veröffentlicht in SVR 2009 IV Nr. 53 S. 164 [9C_204/2009]; Urteil 8C_124/2012 vom 27. August 2012 E. 2.2).</w:t>
      </w:r>
    </w:p>
    <w:p>
      <w:r>
        <w:rPr>
          <w:b/>
        </w:rPr>
        <w:t>E. 2</w:t>
      </w:r>
    </w:p>
    <w:p>
      <w:r>
        <w:t>Streitig und zu prüfen ist der Anspruch auf Insolvenzentschädigung und hiebei insbesondere die Frage, ob der Versicherte seiner Schadenminderungspflicht nachgekommen sei.</w:t>
      </w:r>
    </w:p>
    <w:p>
      <w:r>
        <w:rPr>
          <w:b/>
        </w:rPr>
        <w:t>E. 3.1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Die Vorinstanz hält in diesem Zusammenhang richtig fest,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2004, S. 166). Das Ausmass der geforderten Schadenminderungspflicht richtet sich nach den jeweiligen Umständen des Einzelfalls. Wie im angefochtenen Entscheid ausführlich dargelegt, sind die Anforderungen an die Schadenminderungspflicht rechtsprechungsgemäss hoch.</w:t>
      </w:r>
    </w:p>
    <w:p>
      <w:r>
        <w:rPr>
          <w:b/>
        </w:rPr>
        <w:t>E. 4</w:t>
      </w:r>
    </w:p>
    <w:p>
      <w:r>
        <w:t>In tatsächlicher Hinsicht stellte die Vorinstanz verbindlich fest (vgl. E. 1), der Beschwerdeführer habe seinen Arbeitgeber in der Zeit vom 31. März bis 4. Juli 2014 insgesamt vier Mal schriftlich gemahnt. Davon liegen zwei Mahnungen bei den Akten. Die Arbeitgeberin vertröstete den Versicherten jeweils mit dem Hinweis auf ihre schwierige wirtschaftliche Lage. Zahlungen, auch in Aussicht gestellte Teilzahlungen, erfolgten jedoch nicht.</w:t>
      </w:r>
    </w:p>
    <w:p>
      <w:r>
        <w:rPr>
          <w:b/>
        </w:rPr>
        <w:t>E. 5</w:t>
      </w:r>
    </w:p>
    <w:p>
      <w:r>
        <w:t>Dem kantonalen Gericht ist zuzustimmen, dass die geschilderten Vorkehren nicht ausreichen, der Schadenminderungspflicht im konkreten Einzelfall zu genügen.</w:t>
      </w:r>
    </w:p>
    <w:p>
      <w:r>
        <w:rPr>
          <w:b/>
        </w:rPr>
        <w:t>E. 5.1</w:t>
      </w:r>
    </w:p>
    <w:p>
      <w:r>
        <w:t>Das Arbeitsverhältnis wurde mit dem Hinweis auf wirtschaftliche Schwierigkeiten von der Arbeitgeberin am 28. Februar 2014 auf Ende April 2014 gekündigt. Ab jenem Zeitpunkt musste der Beschwerdeführer mit Blick auf die Erhaltung des Arbeitsplatzes keine Rücksichten mehr nehmen. Gleichzeitig musste ihm spätestens ab jenem Zeitpunkt auch bewusst sein, dass bereits ausstehende und noch anfallende Lohnforderungen gefährdet waren. Es ist daher nicht nachvollziehbar, weshalb er sich bis Anfang Juli 2014 mit weiteren Mahnungen begnügte, ohne dass auch nur Teilzahlungen erfolgt wären. Danach kann er überhaupt keine weiteren Bemühungen zur Geltendmachung seines Anspruchs mehr nachweisen. Das ist - auch in Anbetracht der beachtlichen Höhe der Forderung im Betrag von Fr. 58'704.- - unverständlich. Spätestens nach der zweiten Mahnung und den praktisch gleichlautenden, zu keiner Hoffnung Anlass gebenden Antworten der Arbeitgeberin hätte der Beschwerdeführer wissen müssen, dass nur konkrete rechtliche Schritte zur Eintreibung des ausstehenden Lohnes führen können. Bereits zu jenem Zeitpunkt wäre daher zu erwarten gewesen, dass er ein Betreibungs- bzw. Klageverfahren einleitet. Die vorinstanzliche Würdigung seines Verhaltens als grobfahrlässige Missachtung der Schadenminderungspflicht ist daher bundesrechtskonform.</w:t>
      </w:r>
    </w:p>
    <w:p>
      <w:r>
        <w:rPr>
          <w:b/>
        </w:rPr>
        <w:t>E. 5.2</w:t>
      </w:r>
    </w:p>
    <w:p>
      <w:r>
        <w:t>Daran können die in der Beschwerde vorgebrachten Argumente nichts ändern. Der Versicherte begnügt sich im Wesentlichen darzustellen, es sei unklar gewesen, wo er ein Klagebegehren oder Vollstreckungsmassnahmen hätte einleiten müssen. Diese Frage hätte indessen ohne weiteres und schnell geklärt werden können. Als Leitungskoordinator der B.________ AG hatte der Versicherte keine untergeordnete Stellung im Betrieb. Es wäre ihm ohne weiteres zuzumuten gewesen, sich über die Zuständigkeiten rechtzeitig ins Bild zu setzen. Er weist nicht nach, dass er dies getan hat.</w:t>
      </w:r>
    </w:p>
    <w:p>
      <w:r>
        <w:rPr>
          <w:b/>
        </w:rPr>
        <w:t>E. 5.3</w:t>
      </w:r>
    </w:p>
    <w:p>
      <w:r>
        <w:t>Es bleibt dabei, dass bei einem während mehreren Monaten dauernden Ausstand ein - abgesehen von erfolglosen Mahnungen - tatenloses Zuwarten nicht mehr als objektiv verständlich zu werten ist. Zusammenfassend hat das kantonale Gericht deshalb zutreffend erkannt, dass der Beschwerdeführer keinen Anspruch auf Insolvenzentschädigung hat.</w:t>
      </w:r>
    </w:p>
    <w:p>
      <w:r>
        <w:rPr>
          <w:b/>
        </w:rPr>
        <w:t>E. 6</w:t>
      </w:r>
    </w:p>
    <w:p>
      <w:r>
        <w:t>Die Beschwerde ist offensichtlich unbegründet, weshalb sie im Verfahren nach Art. 109 BGG , insbesondere ohne Durchführung eines Schriftenwechsels und mit summarischer Begründung, erledigt wird.</w:t>
      </w:r>
    </w:p>
    <w:p>
      <w:r>
        <w:rPr>
          <w:b/>
        </w:rPr>
        <w:t>E. 7</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