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8C_748/2008 vom 10. Juni 2009</w:t>
      </w:r>
    </w:p>
    <w:p>
      <w:r>
        <w:t>Bundesgericht, 2009-06-10, FR</w:t>
      </w:r>
    </w:p>
    <w:p>
      <w:r>
        <w:rPr>
          <w:b/>
        </w:rPr>
        <w:t xml:space="preserve">Quelle: </w:t>
      </w:r>
      <w:r>
        <w:t>https://mcp.opencaselaw.ch/entscheid/bger_8C_748_2008</w:t>
      </w:r>
    </w:p>
    <w:p>
      <w:r>
        <w:t>FR: TF 8C_748/2008 du 10 juin 2009</w:t>
      </w:r>
    </w:p>
    <w:p>
      <w:r>
        <w:t>IT: TF 8C_748/2008 del 10 giugno 2009</w:t>
      </w:r>
    </w:p>
    <w:p>
      <w:pPr>
        <w:pStyle w:val="Heading2"/>
      </w:pPr>
      <w:r>
        <w:t>Erwägungen</w:t>
      </w:r>
    </w:p>
    <w:p>
      <w:r>
        <w:rPr>
          <w:b/>
        </w:rPr>
        <w:t>E. 1</w:t>
      </w:r>
    </w:p>
    <w:p>
      <w:r>
        <w:t>Le litige porte exclusivement sur le droit à une rente de l'assurance-accidents, plus particulièrement sur le taux d'invalidité présenté par le recourant. Le droit à une indemnité pour atteinte à l'intégrité n'est en revanche plus litigieux. Dès lors que le jugement entrepris porte sur le droit à des prestations en espèces de l'assurances-accidents, le Tribunal fédéral n'est pas lié par les faits établis par la juridiction cantonale (art. 97 al. 2 et 105 al. 3 LTF).</w:t>
      </w:r>
    </w:p>
    <w:p>
      <w:r>
        <w:rPr>
          <w:b/>
        </w:rPr>
        <w:t>E. 2.1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8 al. 1 et art. 16 LPGA ).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p. 30; 104 V 135 consid. 2a et 2b p. 136; cf. ATF 130 V 343 consid. 3.4 p. 348).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 ATF 129 V 472 consid. 4.2.1 p. 475; 126 V 75 consid. 3b/aa p. 76).</w:t>
      </w:r>
    </w:p>
    <w:p>
      <w:r>
        <w:rPr>
          <w:b/>
        </w:rPr>
        <w:t>E. 2.2</w:t>
      </w:r>
    </w:p>
    <w:p>
      <w:r>
        <w:t>Si l'on ne peut déterminer ou évaluer sûrement le revenu hypothétique sans invalidité et le revenu d'invalide, il faut, en s'inspirant de la méthode spécifique pour non-actifs ( art. 8 al. 3 LPGA ; art. 28a al. 2 LAI [pour la période antérieure au 1er janvier 2008 : art. 28 al. 2bis LAI ] et art. 27 RAI ),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 ATF 128 V 29 consid. 1 p. 30; 104 V 135 consid. 2 p. 136; arrêts I 432/97 du 30 mars 1998 consid. 2b, in VSI 1998 p. 257, et I 83/97 du 16 octobre 1997 consid. 1a, in VSI 1998 p. 121).</w:t>
      </w:r>
    </w:p>
    <w:p>
      <w:r>
        <w:rPr>
          <w:b/>
        </w:rPr>
        <w:t>E. 3.1</w:t>
      </w:r>
    </w:p>
    <w:p>
      <w:r>
        <w:t>La juridiction cantonale a évalué l'invalidité du recourant en appliquant la méthode générale de comparaison des revenus. Elle a évalué le revenu qu'il aurait pu réaliser sans invalidité en se référant aux revenus soumis à cotisations à l'assurance vieillesse et survivants, annoncés à la Caisse cantonale vaudoise de compensation AVS pour les années précédant l'accident (1999 : 27'900 fr.; 2000 : 62'400 fr.; 2001 : 119'200 fr.; 2002 : 76'900 fr.; 2003 : 24'600 fr.; 2004 : 100'000 fr.). En faisant abstraction de l'année 2004 pour laquelle le recourant avait été taxé d'office, elle a pris en considération la moyenne des revenus annuels soumis à cotisation entre 1999 et 2003, soit 62'200 fr. Elle a ensuite adapté ce montant à l'évolution des salaires nominaux en Suisse jusqu'à la naissance du droit à la rente, en 2007. Elle a ainsi obtenu un revenu hypothétique sans invalidité de 65'110 fr. 26.</w:t>
      </w:r>
    </w:p>
    <w:p>
      <w:r>
        <w:rPr>
          <w:b/>
        </w:rPr>
        <w:t>E. 3.2</w:t>
      </w:r>
    </w:p>
    <w:p>
      <w:r>
        <w:t>En ce qui concerne le revenu que pourrait encore réaliser le recourant malgré son handicap, la juridiction cantonale a considéré que celui-ci disposait d'une pleine capacité de travail dans une activité légère, de type industriel, n'impliquant pas une mobilisation importante des bras et exercée à hauteur de table ou d'établi. Se référant aux données salariales publiées par l'Office fédéral de la statistique dans l'Enquête suisse sur la structure des salaires 2006, elle a considéré que le revenu de 52'359 francs pris en considération par l'intimée ne conduisait pas à surévaluer la capacité résiduelle de gain du recourant. Partant, elle a confirmé le taux d'invalidité de 19 % fixé dans la décision sur opposition litigieuse.</w:t>
      </w:r>
    </w:p>
    <w:p>
      <w:r>
        <w:rPr>
          <w:b/>
        </w:rPr>
        <w:t>E. 4.1</w:t>
      </w:r>
    </w:p>
    <w:p>
      <w:r>
        <w:t>Le recourant conteste, d'abord, l'utilisation de la méthode ordinaire de comparaison des revenus. Rappelant qu'il exerce une activité indépendante, il demande que soit appliquée la méthode extraordinaire d'évaluation de l'invalidité. Dans ce contexte, il se fonde sur une enquête économique réalisée par l'Office de l'assurance-invalidité du canton de Vaud - et figurant au dossier constitué par l'intimée -, d'après laquelle cette méthode devrait conduire à retenir un taux d'invalidité de 62,14 %. Il précise toutefois avoir diversifié l'activité de son entreprise en juillet 2007 en se lançant dans le commerce de denrées alimentaires et de vin; il peut ainsi consacrer une partie du temps qu'il passait sur les chantiers à des activités mieux adaptées à son état de santé. Reprenant le calcul effectué par l'Office de l'assurance-invalidité du canton de Vaud, mais en modifiant la pondération des différentes activités, il allègue un taux d'invalidité de 45 %.</w:t>
      </w:r>
    </w:p>
    <w:p>
      <w:r>
        <w:rPr>
          <w:b/>
        </w:rPr>
        <w:t>E. 4.2.1</w:t>
      </w:r>
    </w:p>
    <w:p>
      <w:r>
        <w:t>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(cf. arrêt I 840/81 du 26 avril 1982, in RCC 1983 p. 246), ou encore d'accepter un emploi le contraignant à changer de domicile, en vertu de son obligation de réduire le dommage résultant de l'invalidité ( ATF 113 V 22 consid. 4 p. 28; 109 V 25 consid. 3c p. 27).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 ATF 122 V 377 consid. 2b/cc p. 380; 119 V 250 consid. 3a p. 253; voir également ATF 113 V 22 consid. 4d p. 31, ainsi que PETER OMLIN, Die Invalidität in der obligatorischen Unfallversicherung, Fribourg 1995, p. 185 sv., p. 203 sv.).</w:t>
      </w:r>
    </w:p>
    <w:p>
      <w:r>
        <w:rPr>
          <w:b/>
        </w:rPr>
        <w:t>E. 4.2.2</w:t>
      </w:r>
    </w:p>
    <w:p>
      <w:r>
        <w:t>En l'occurrence, si l'on suit le raisonnement du recourant, l'application de la méthode extraordinaire d'évaluation de l'invalidité conduirait à retenir un taux d'invalidité de 45 %. Ce taux résulte du fait que le recourant ne peut plus consacrer que 8 % de son temps à des activités dans les domaines de la charpente et de la menuiserie, contre 78 % avant l'accident du 19 juin 2005; au total, et compte tenu du développement de nouvelles activités moins lourdes physiquement, il ne peut pas travailler à plus de 52 % dans son entreprise, toujours selon ses propres indications. Le recourant disposerait en revanche d'une capacité de travail entière dans une activité adaptée, telle que décrite par les premiers juges (cf. consid. 3.2 ci-avant). C'est dire que son activité indépendante ne lui permet de mettre à contribution qu'une faible part de sa capacité résiduelle de travail et de gain, malgré les adaptations auxquelles il a procédé. Le recourant ne soutient pas, par ailleurs, qu'il lui serait particulièrement difficile de remettre son entreprise à un tiers sans réaliser une perte importante. Dans ces circonstances, un changement d'activité professionnelle est donc raisonnablement exigible, compte tenu de la diminution importante du dommage que l'on peut en attendre. Il s'ensuit que les premiers juges ont appliqué à bon droit la méthode ordinaire de comparaison de revenus pour évaluer l'invalidité du recourant, la méthode extraordinaire ne pouvant trouver à s'appliquer en cas de changement d'activité professionnelle de l'assuré. Dans le cas d'espèce, les deux termes de la comparaison de revenus à effectuer ne peuvent être chiffrés exactement avec certitude, mais peuvent néanmoins être évalués de manière suffisamment précise (consid. 5 sv. ci-après).</w:t>
      </w:r>
    </w:p>
    <w:p>
      <w:r>
        <w:rPr>
          <w:b/>
        </w:rPr>
        <w:t>E. 5.1</w:t>
      </w:r>
    </w:p>
    <w:p>
      <w:r>
        <w:t>Le recourant conteste, en second lieu, la manière dont les premiers juges ont fixé le revenu hypothétique sans invalidité. D'après lui, les revenus soumis à cotisation à l'assurance-vieillesse et survivants, sur lesquels s'est fondée la juridiction cantonale, ne reflètent pas l'intégralité du revenu d'un indépendant; ils ne permettent pas, notamment, de prendre considération certains avantages en nature, ni la part du produit du travail qui a permis de couvrir des charges fixes de l'entreprise. Par ailleurs, toujours d'après le recourant, ses revenus ont été soumis à de fortes fluctuations, ce qui les prive de pertinence pour fixer le revenu hypothétique sans invalidité de manière fiable. A supposer qu'il faille néanmoins se fonder sur les revenus en question, il n'y a aucune raison de faire abstraction du revenu soumis à cotisation pour l'année 2004. Enfin, le recourant reproche à la juridiction cantonale d'avoir limité l'indexation du salaire moyen des années précédentes à l'évolution des salaires nominaux jusqu'en 2006, et non jusqu'en 2007.</w:t>
      </w:r>
    </w:p>
    <w:p>
      <w:r>
        <w:rPr>
          <w:b/>
        </w:rPr>
        <w:t>E. 5.2.1</w:t>
      </w:r>
    </w:p>
    <w:p>
      <w:r>
        <w:t>Aux termes de l' art. 25 al. 1 RAI (en relation avec l' art. 28a LAI [jusqu'au 31 décembre 2007 : art. 28 al. 2 LAI ]), est réputé revenu déterminant au sens de l' art. 16 LPGA , pour l'évaluation de l'invalidité, le revenu annuel présumable sur lequel les cotisations seraient perçues en vertu de la LAVS (à l'exception des prestations, éléments de salaire et indemnités mentionnées aux let. a à c de cette disposition, sans pertinence en l'espèce). Cette réglementation est applicable par analogie dans le domaine de l'assurance-accidents, dès lors que la notion d'invalidité y est la même que dans l'assurance-invalidité (cf. ATF 133 V 549 consid. 6.1 p. 553). Elle établit un parallèle entre le revenu soumis à cotisation à l'assurance-vieillesse et survivants et le revenu à prendre en considération pour l'évaluation de l'invalidité; ce parallèle n'a toutefois pas valeur absolue et la jurisprudence admet quelques rectificatifs, par exemple si une diminution ou une augmentation extraordinaire du revenu pendant une période déterminée est dûment établie (cf. arrêt I 499/97 du 23 novembre 1998, in SVR 1999 IV no 24 p. 71).</w:t>
      </w:r>
    </w:p>
    <w:p>
      <w:r>
        <w:rPr>
          <w:b/>
        </w:rPr>
        <w:t>E. 5.2.2</w:t>
      </w:r>
    </w:p>
    <w:p>
      <w:r>
        <w:t>En l'occurrence, il s'ensuit que les premiers juges se sont référés à juste titre aux revenus soumis à cotisations à l'assurance-vieillesse et survivants, pendant les années précédant l'accident, pour établir le revenu hypothétique sans invalidité du recourant. Les prestations en nature sont en principe également prises en considération dans ce revenu (art. 9 al. 1, 9 al. 3 LAVS et art. 23 al. 1 RAVS , en relation avec l' art. 16 al. 2 LIFD ; cf. également art. 5 al. 2 LAVS ). Par ailleurs, il n'y a aucun motif d'ajouter au revenu soumis à cotisation la part du chiffre d'affaire de l'entreprise du recourant qui a servi à couvrir des frais fixes ou variables; en réalité, cette part est indirectement prise en considération puisqu'elle a précisément permis à l'entreprise de dégager un bénéfice et de procurer au recourant le revenu en question.</w:t>
      </w:r>
    </w:p>
    <w:p>
      <w:r>
        <w:t>La référence au revenu moyen soumis à cotisations pour les années 1999 à 2003, permet d'éviter d'accorder trop de poids à une fluctuation passagère du revenu - à la hausse ou à la baisse - juste avant l'accident. Dans ce contexte, la juridiction cantonale a écarté à bon droit l'année 2004 au motif que le recourant avait à l'époque été taxé d'office. Du reste, si l'on prend en considération le revenu moyen du recourant non pas sur période de cinq ans (62'200 francs), mais de dix ans (49'350 francs entre 1994 et 2003), force est de constater que le revenu calculé par les premiers juges ne lui est de loin pas défavorable. Il ne l'est pas non plus si l'on se réfère au revenu moyen de 4'500 francs net par mois estimé par son fiduciaire (entretien du 6 juillet 2006 à un inspecteur de la CNA). Enfin, la juridiction cantonale a expressément procédé à une rectification relative à l'évolution des salaires nominaux entre 2005 et 2006 (+ 1,2 %, au lieu de l'augmentation de 1 % prise en considération par l'intimée); elle n'a pas pour autant négligé de tenir compte de l'augmentation des salaires nominaux survenue entre 2006 et 2007, qui était déjà intégrée correctement dans le calcul effectué initialement par l'intimée.</w:t>
      </w:r>
    </w:p>
    <w:p>
      <w:r>
        <w:rPr>
          <w:b/>
        </w:rPr>
        <w:t>E. 5.2.3</w:t>
      </w:r>
    </w:p>
    <w:p>
      <w:r>
        <w:t>Vu ce qui précède, les griefs du recourant sont mal fondés en tant qu'ils portent sur le calcul du revenu hypothétique sans invalidité par les premiers juges.</w:t>
      </w:r>
    </w:p>
    <w:p>
      <w:r>
        <w:rPr>
          <w:b/>
        </w:rPr>
        <w:t>E. 6.1</w:t>
      </w:r>
    </w:p>
    <w:p>
      <w:r>
        <w:t>Le recourant conteste, en dernier lieu, les constatations de la juridiction cantonale relatives au montant qu'il pourrait encore réaliser dans une activité adaptée à son état de santé. A cet égard, il fait grief à la juridiction cantonale d'avoir confirmé, en se référant à l'Enquête suisse sur la structure des salaires 2006, le revenu initialement fixé par l'intimée sur la base de cinq descriptions de postes de travail (DPT) inadaptés au handicap dont il souffre. Il demande que soit prises en considération d'autres descriptions de postes de travail, en particulier les descriptions 5874 et 9537. Celles-ci correspondent toutefois à deux activités parmi les moins bien rémunérées de celles qui peuvent entrer en considération pour le recourant, d'après une liste de 35 DPT produite par l'intimée; la première est même, de loin, la moins bien rémunérée. Il faut donc considérer, contrairement à ce que soutient le recourant, qu'elles ne sont pas véritablement représentatives du revenu qu'il pourrait encore réaliser malgré son handicap. Au demeurant, la jurisprudence admet, de manière constante, de se référer aux Enquêtes suisses sur la structure des salaires pour fixer le revenu que pourrait encore réaliser la personne assurée lorsqu'elle n'exerce plus d'activité, ou une aucune activité adaptée lui permettant de mettre pleinement en valeur sa capacité résiduelle de travail ( ATF 129 V 472 consid. 4.2 p. 475). Sur ce point également, le recours est donc mal fondé.</w:t>
      </w:r>
    </w:p>
    <w:p>
      <w:r>
        <w:rPr>
          <w:b/>
        </w:rPr>
        <w:t>E. 6.2</w:t>
      </w:r>
    </w:p>
    <w:p>
      <w:r>
        <w:t>Il n'y a pas lieu de revenir sur les autres aspects du calcul du taux d'invalidité par la juridiction cantonale, qui ne conduisent pas, globalement, à sous-évaluer le degré d'invalidité du recourant et contre lesquels ce dernier ne soulève aucun grief.</w:t>
      </w:r>
    </w:p>
    <w:p>
      <w:r>
        <w:rPr>
          <w:b/>
        </w:rPr>
        <w:t>E. 7</w:t>
      </w:r>
    </w:p>
    <w:p>
      <w:r>
        <w:t>Compte tenu de ce qui précède, le recourant voit ses conclusions entièrement rejetées. Il supportera donc les frais de justice ( art. 66 al. 1 LTF ) ainsi que ses propres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