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745/2021 vom 16. November 2021</w:t>
      </w:r>
    </w:p>
    <w:p>
      <w:r>
        <w:t>Bundesgericht, 2021-11-16, DE</w:t>
      </w:r>
    </w:p>
    <w:p>
      <w:r>
        <w:rPr>
          <w:b/>
        </w:rPr>
        <w:t xml:space="preserve">Quelle: </w:t>
      </w:r>
      <w:r>
        <w:t>https://mcp.opencaselaw.ch/entscheid/bger_8C_745_2021</w:t>
      </w:r>
    </w:p>
    <w:p>
      <w:r>
        <w:t>FR: TF 8C 745/2021 du 16 novembre 2021</w:t>
      </w:r>
    </w:p>
    <w:p>
      <w:r>
        <w:t>IT: TF 8C 745/2021 del 16 novembre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16.11.2021 8C 745/2021 (8C_745/2021) Tribunal fédéral IIIe Cour de droit public (Ire Cour de droit social) 16.11.2021 8C 745/2021 (8C_745/2021) Tribunale federale III Corte di diritto pubblico (I Corte di diritto sociale) 16.11.2021 8C 745/2021 (8C_745/2021)</w:t>
      </w:r>
    </w:p>
    <w:p>
      <w:r>
        <w:t>Arbeitslosenversicherung (Prozessvoraussetzung) | Arbeitslosenversicherung</w:t>
      </w:r>
    </w:p>
    <w:p>
      <w:r>
        <w:t>Bundesgericht Tribunal fédéral Tribunale federale Tribunal federal 8C_745/2021 Urteil vom 16. November 2021 I. sozialrechtliche Abteilung Besetzung Bundesrichter Maillard, Präsident, Gerichtsschreiber Grünvogel. Verfahrensbeteiligte A.________ GmbH, handelnd durch B.________, Beschwerdeführerin, gegen Amt für Wirtschaft und Arbeit des Kantons Solothurn, Juristische Dienstleistungen, Rathausgasse 16, 4500 Solothurn, Beschwerdegegner. Gegenstand Arbeitslosenversicherung (Prozessvoraussetzung), Beschwerde gegen das Urteil des Versicherungsgerichts des Kantons Solothurn vom 7. Oktober 2021 (VSBES.2021.107). Nach Einsicht in die Beschwerde vom 5. November 2021 (Poststempel) gegen das Urteil des Versicherungsgerichts des Kantons Solothurn vom 7. Oktober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einzugehen und im Einzelnen zu zeigen ist, welche Vorschriften und weshalb sie verletzt worden sind ( BGE 134 V 53 E. 3.3 und 133 IV 286 E. 1.4), während rein appellatorische Kritik nicht genügt (vgl. BGE 137 V 57 E. 1.3 und 136 I 65 E. 1.3.1), dass das kantonale Gericht in Auseinandersetzung mit den Parteivorbringen und in Würdigung der Akten zur Überzeugung gelangte, der Beschwerdegegner habe von der Beschwerdeführerin die für die Zeit vom 17. bis 25. März 2021 ausgerichtete Kurzarbeitsentschädigung mit Verfügung vom 23. März 2021 zurückfordern dürfen; dies wegen der fehlender Kontrollier- und Bestimmbarkeit des geltend gemachten Arbeitsausfalls im Sinne von Art. 31 Abs. 3 lit. a AVIG , dass es dazu näher ausführte, die genügende Kontrollierbarkeit des Arbeitsausfalls setzte rechtsprechungsgemäss zwingend eine echtzeitliche Dokumentierung der Arbeitszeiten vor; diesem Erfordernis sei mit den erst nachträglich erfassten, inhaltlich überdies teils unzutreffenden Stundenabrechnungen, auf welche sich die Beschwerdeführerin berufe, nicht genüge getan, dass die Beschwerdeführerin dem allein eine angeblich unrichtige Feststellung des Sachverhaltes entgegen hält, ohne dabei aufzuzeigen, inwieweit das von der Vorinstanz dazu Erwogene (fehlender sich unmittelbar aus den Stundenabrechnungen ergebender eindeutiger Nachweis des Verfassers) offensichtlich unrichtig im Sinne von Art. 97 Abs. 1 BGG (Näheres dazu: BGE 146 IV 88 E. 1.3.1; 140 III 115 E. 2; je mit Hinweisen) und überdies entscheidwesentlich gewesen sein soll,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Solothurn und dem Staatssekretariat für Wirtschaft (SECO) schriftlich mitgeteilt. Luzern, 16.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