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8C_744/2023 vom 30. November 2023</w:t>
      </w:r>
    </w:p>
    <w:p>
      <w:r>
        <w:t>Bundesgericht, 2023-11-30, DE</w:t>
      </w:r>
    </w:p>
    <w:p>
      <w:r>
        <w:rPr>
          <w:b/>
        </w:rPr>
        <w:t xml:space="preserve">Quelle: </w:t>
      </w:r>
      <w:r>
        <w:t>https://mcp.opencaselaw.ch/entscheid/bger_8C_744_2023</w:t>
      </w:r>
    </w:p>
    <w:p>
      <w:r>
        <w:t>FR: TF 8C_744/2023 du 30 novembre 2023</w:t>
      </w:r>
    </w:p>
    <w:p>
      <w:r>
        <w:t>IT: TF 8C_744/2023 del 30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ist mit Urteil vom 3. Oktober 2023 auf die gegen die Verfügung vom 27. Dezember 2022 erhobene Beschwerde insoweit eingetreten, als sie den Erlass der am 22. April 2021 rechtskräftig verfügten Rückforderung von Fr. 963.05 zum Gegenstand erhob. Sie hat die Angelegenheit unter Bejahung des guten Glaubens der Beschwerdeführerin an die Beschwerdegegnerin zurückgewiesen, damit diese die grosse Härte prüfe und über den Erlass der Rückforderung neu entscheide. Soweit die Beschwerdeführerin dabei versuchte, Bestand, Höhe sowie Adressat der Rückerstattungsforderung zu thematisieren, hielt das kantonale Gericht dem entgegen, darüber sei (mit Verfügung vom 22. April 2021 bzw. mit dem Nichteintretensentscheid auf das Gesuch um Wiedererwägung dieser Verfügung vom 12. Juli 2022) bereits rechtskräftig entschieden worden.</w:t>
      </w:r>
    </w:p>
    <w:p>
      <w:r>
        <w:rPr>
          <w:b/>
        </w:rPr>
        <w:t>E. 3</w:t>
      </w:r>
    </w:p>
    <w:p>
      <w:r>
        <w:t>Hinsichtlich der vorinstanzlichen Rückweisung der Angelegenheit an die Beschwerdegegnerin zum neuen Entscheid über das Erlassgesuch, handelt es sich um einen selbstständig eröffneten Zwischenentscheid im Sinne von Art. 93 BGG .</w:t>
      </w:r>
    </w:p>
    <w:p>
      <w:r>
        <w:rPr>
          <w:b/>
        </w:rPr>
        <w:t>E. 3.1</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3.2</w:t>
      </w:r>
    </w:p>
    <w:p>
      <w:r>
        <w:t>Derartiges ist weder geltend gemacht (zur diesbezüglichen Rüge- und Begründungspflicht: Art. 42 Abs. 2 BGG ; BGE 144 III 475 E. 1.2; 141 IV 284 E. 2.3, 289 E. 1.3), noch erkennbar (Näheres dazu: a.a.O. sowie BGE 142 II 20 E. 1.4; 140 V 282 E. 4.2; 139 V 99 E. 2.4; 136 II 165 E. 1.2.1).</w:t>
      </w:r>
    </w:p>
    <w:p>
      <w:r>
        <w:rPr>
          <w:b/>
        </w:rPr>
        <w:t>E. 4</w:t>
      </w:r>
    </w:p>
    <w:p>
      <w:r>
        <w:t>S oweit die Beschwerdeführerin die Rechtmässigkeit der Rückerstattungsforderung einer Diskussion zuführen will, legt sie nicht dar, weshalb die Auffassung der Vorinstanz, darüber könne im Erlassverfahren nicht mehr befunden werden, bundesrechtswidrig sein soll. Damit wird auch in diesem Punkt den eingangs dargelegten minimalen Begründungsanforderungen klarerweise nicht genügt.</w:t>
      </w:r>
    </w:p>
    <w:p>
      <w:r>
        <w:rPr>
          <w:b/>
        </w:rPr>
        <w:t>E. 5</w:t>
      </w:r>
    </w:p>
    <w:p>
      <w:r>
        <w:t>Ist die Beschwerde insgesamt offensichtlich ungenügend begründet bzw. unzulässig, so führt dies zu einem Nichteintreten auf das Rechtsmittel im vereinfachten Verfahren nach Art. 108 Abs. 1 lit. a und b BGG .</w:t>
      </w:r>
    </w:p>
    <w:p>
      <w:r>
        <w:rPr>
          <w:b/>
        </w:rPr>
        <w:t>E. 6</w:t>
      </w:r>
    </w:p>
    <w:p>
      <w:r>
        <w:t>In Anwendung von Art. 66 Abs. 1 Satz 2 BGG wird ausnahmsweise nochmals (vgl. Urteil 8C_179/2022 vom 15. März 2022) auf die Erhebung von Gerichtskosten verzichtet. Bei gleichbleibender Rechtsmittelführung wird die Beschwerdeführerin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