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744/2020 vom 8. März 2021</w:t>
      </w:r>
    </w:p>
    <w:p>
      <w:r>
        <w:t>Bundesgericht, 2021-03-08, DE</w:t>
      </w:r>
    </w:p>
    <w:p>
      <w:r>
        <w:rPr>
          <w:b/>
        </w:rPr>
        <w:t xml:space="preserve">Quelle: </w:t>
      </w:r>
      <w:r>
        <w:t>https://mcp.opencaselaw.ch/entscheid/bger_8C_744_2020</w:t>
      </w:r>
    </w:p>
    <w:p>
      <w:r>
        <w:t>FR: TF 8C 744/2020 du 8 mars 2021</w:t>
      </w:r>
    </w:p>
    <w:p>
      <w:r>
        <w:t>IT: TF 8C 744/2020 del 8 marzo 2021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Suva verfügte und mit Einspracheentscheid vom 27. Mai 2020 bestätigte Verneinung einer Leistungspflicht hinsichtlich der ab 23. Oktober 2019 als Folgen des Unfalls vom 25. September 2018 geklagten Beschwerden mit angefochtenem Entscheid schützte.</w:t>
      </w:r>
    </w:p>
    <w:p>
      <w:r>
        <w:rPr>
          <w:b/>
        </w:rPr>
        <w:t>E. 3</w:t>
      </w:r>
    </w:p>
    <w:p>
      <w:r>
        <w:t>Das kantonale Gericht hat die für die Beurteilung des strittigen Anspruchs auf Unfallversicherungsleistungen nach Gesetz und Rechtsprechung massgebenden Grundlagen richtig dargestellt. Darauf wird verwiesen.</w:t>
      </w:r>
    </w:p>
    <w:p>
      <w:r>
        <w:rPr>
          <w:b/>
        </w:rPr>
        <w:t>E. 4.1</w:t>
      </w:r>
    </w:p>
    <w:p>
      <w:r>
        <w:t>Das kantonale Gericht teilte grundsätzlich die Auffassung der Suva, wonach Letztere den Grundfall per Ende Januar 2019 formlos abgeschlossen habe. Dementsprechend sei - wie mit Schadenmeldung UVG vom 23. Oktober 2019 ausdrücklich geltend gemacht - in Bezug auf die mit "Rückfalldatum [des] 16. Oktobers 2019" angemeldeten Beschwerden von einem Rückfall auszugehen. Letztlich könne jedoch offenbleiben, ob die Leistungspflicht hinsichtlich der am 23. Oktober 2019 gemeldeten gesundheitlichen Beeinträchtigungen im Rahmen eines Rückfalls oder des Grundfalls zu prüfen sei. Auf die Aktenbeurteilung des Suva-Arztes für Chirurgie FMH, med. pract. D.________, vom 28. Februar 2020 sei praxisgemäss abzustellen, zumal der Bericht vom 23. Juni 2020 des behandelnden Dr. med. E.________, keine auch nur geringen Zweifel an der Beurteilung des med. pract. D.________ zu begründen vermöge. Demnach handle es sich bei den ab Oktober 2019 geklagten Beschwerden nicht um Folgen des Unfalles vom 25. September 2018, weshalb die Suva zu Recht eine entsprechende Leistungspflicht verneint habe.</w:t>
      </w:r>
    </w:p>
    <w:p>
      <w:r>
        <w:rPr>
          <w:b/>
        </w:rPr>
        <w:t>E. 4.2</w:t>
      </w:r>
    </w:p>
    <w:p>
      <w:r>
        <w:t>Was der Beschwerdeführer hiegegen vorbringt, ist offensichtlich unbegründet. Med. pract. D.________ äusserte sich in Kenntnis der gesamten medizinischen Aktenlage detailliert zu den Ergebnissen der MRI-Untersuchung vom 5. Dezember 2019. Er legte nachvollziehbar und überzeugend dar, weshalb die einzelnen Befunde angesichts des konkreten Supinationstraumas vom 25. September 2018 und der bildgebend dokumentierten, intakten ligamentären Strukturen nicht als unfallbedingtes anteriores Impingement interpretiert werden könnten. Vielmehr sei von einer degenerativen bzw. überlastungsbedingten Bursitis subachillea und einem Ödem an der Haglund-Exostose auszugehen, welche bereits Dr. med. F.________, anlässlich der MRI-Untersuchung erkannt habe. Zwar ziehe Dr. med. E.________ in seinem Bericht vom 23. Juni 2020 alternative Kausalhypothesen als mögliche Erklärungen für die am 5. Dezember 2019 erhobenen Befunde in Betracht, welche als Schmerzursachen in Frage kämen und letztlich "eben auch durch ein Trauma aktiviert" worden sein könnten. Wie die Suva jedoch bereits in der vorinstanzlichen Beschwerdeantwort zutreffend darlegte, verwendete Dr. med. E.________ bei der Darstellung dieser Hypothesen ausdrücklich den Konjunktiv. Er begründete seine Wahl der für ihn ausschlaggebenden Erklärungsvariante unter Verweis auf den "Zusammenhang des Symptombeginns mit dem Trauma", welcher seines Erachtens für eine Unfallursache spreche. Mit schlüssiger und überzeugender Begründung des angefochtenen Entscheids, worauf verwiesen wird ( Art. 109 Abs. 3 BGG ), zeigte das kantonale Gericht auf, weshalb die Ausführungen des Dr. med. E.________ praxisgemäss (vgl. zur unfallmedizinisch nicht haltbaren und beweisrechtlich nicht zulässigen Formel "post hoc ergo propter hoc" SVR 2008 UV Nr. 11 S. 34, U 290/06 E. 4.2.3; vgl. auch SVR 2020 UV Nr. 15 S. 56, 8C_471/2019 E. 5.2 mit Hinweis auf BGE 119 V 335 E. 2b/bb S. 341 f.) nicht geeignet waren, auch nur geringe Zweifel an der Aktenbeurteilung des med. pract. D.________ zu wecken. Unter Mitberücksichtigung der Erfahrungstatsache, wonach behandelnde Arztpersonen bzw. Therapiekräfte mitunter im Hinblick auf ihre auftragsrechtliche Vertrauensstellung im Zweifelsfall eher zu Gunsten ihrer Patienten aussagen ( BGE 135 V 465 E. 4.5. S. 470; SVR 2015 IV Nr. 26 S. 78, 8C_616/2014 E. 5.3.3.3 mit Hinweis), ist nicht zu beanstanden, dass die Vorinstanz nicht auf den im Auftrag des Rechtsvertreters des Beschwerdeführers verfassten Bericht des Dr. med. E.________ vom 23. Juli 2020 abstellte.</w:t>
      </w:r>
    </w:p>
    <w:p>
      <w:r>
        <w:rPr>
          <w:b/>
        </w:rPr>
        <w:t>E. 4.3</w:t>
      </w:r>
    </w:p>
    <w:p>
      <w:r>
        <w:t>Haben die Suva und das kantonale Gericht zu Recht auch nur geringe Zweifel an der Aktenbeurteilung des med. pract. D.________ ausgeschlossen, konnten sie bundesrechtskonform in zulässiger antizipierter Beweiswürdigung auf weitere Abklärungen verzichten.</w:t>
      </w:r>
    </w:p>
    <w:p>
      <w:r>
        <w:rPr>
          <w:b/>
        </w:rPr>
        <w:t>E. 5</w:t>
      </w:r>
    </w:p>
    <w:p>
      <w:r>
        <w:t>Da die Beschwerde offensichtlich unbegründet ist, wird sie im Verfahren nach Art. 109 Abs. 2 lit. a BGG mit summarischer Begründung und unter Hinweis auf den kantonalen Gerichtsentscheid ( Art. 109 Abs. 3 BGG ) erledigt.</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