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8C_744/2017 vom 14. Mai 2018</w:t>
      </w:r>
    </w:p>
    <w:p>
      <w:r>
        <w:t>Bundesgericht, 2018-05-14, DE</w:t>
      </w:r>
    </w:p>
    <w:p>
      <w:r>
        <w:rPr>
          <w:b/>
        </w:rPr>
        <w:t xml:space="preserve">Quelle: </w:t>
      </w:r>
      <w:r>
        <w:t>https://mcp.opencaselaw.ch/entscheid/bger_8C_744_2017</w:t>
      </w:r>
    </w:p>
    <w:p>
      <w:r>
        <w:t>FR: TF 8C_744/2017 du 14 mai 2018</w:t>
      </w:r>
    </w:p>
    <w:p>
      <w:r>
        <w:t>IT: TF 8C_744/2017 del 14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Eine freie bundesgerichtliche Ermessensprüfung im Sinne einer Angemessenheitskontrolle ist auch auf dem Gebiet der Geldleistungen der Militär- und Unfallversicherung ausgeschlossen (Urteile 8C_114/2017 vom 11. Juli 2017 E. 1.2; 8C_622/2016 vom 21. Dezember 2016 E. 4.1).</w:t>
      </w:r>
    </w:p>
    <w:p>
      <w:r>
        <w:rPr>
          <w:b/>
        </w:rPr>
        <w:t>E. 2</w:t>
      </w:r>
    </w:p>
    <w:p>
      <w:r>
        <w:t>Das kantonale Gericht hat die rechtlichen Grundlagen betreffend den Anspruch auf eine Invalidenrente ( Art. 18 Abs. 1 UVG i.V.m. Art. 8 Abs. 1 ATSG ) und die Bemessung des Invaliditätsgrads nach der Einkommensvergleichsmethode ( Art. 16 ATSG ) zutreffend dargelegt. Gleiches gilt für die Rechtsprechung zum Beweiswert von ärztlichen Berichten und Gutachten. Darauf wird verwiesen.</w:t>
      </w:r>
    </w:p>
    <w:p>
      <w:r>
        <w:t>Vorliegend ist zu prüfen, ob die Vorinstanz Bundesrecht verletzte, indem sie dem Beschwerdeführer eine Invalidenrente bei einem Invaliditätsgrad von 22 % zusprach. Streitig ist dabei einzig die Frage, ob das kantonale Gericht zu Recht einen leidensbedingten Abzug von 20 % vornahm, während die Beschwerdeführerin keinen Abzug gewährt hatte.</w:t>
      </w:r>
    </w:p>
    <w:p>
      <w:r>
        <w:rPr>
          <w:b/>
        </w:rPr>
        <w:t>E. 3.1</w:t>
      </w:r>
    </w:p>
    <w:p>
      <w:r>
        <w:t>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S. 181; 124 V 321 E. 3b/aa S. 323) und je nach Ausprägung die versicherte Person deswegen die verbliebene Arbeitsfähigkeit auch auf einem ausgeglichenen Arbeitsmarkt nur mit unterdurchschnittlichem erwerblichem Erfolg verwerten kann ( BGE 126 V 75 E. 5b/aa i.f. S. 80). Ohne für jedes zur Anwendung gelangende Merkmal separat quantifizierte Abzüge vorzunehmen, ist der Einfluss aller Merkmale auf das Invalideneinkommen unter Würdigung der Umstände im Einzelfall nach pflichtgemässem Ermessen gesamthaft zu schätzen ( BGE 126 V 75 E. 5b/bb S. 80). Der Abzug darf 25 % nicht übersteigen ( BGE 135 V 297 E. 5.2 S. 301; 126 V 75 E. 5b/bb-cc S. 80; vgl. auch Urteil 8C_253/2017 vom 29. Juni 2017 E. 4.3.2).</w:t>
      </w:r>
    </w:p>
    <w:p>
      <w:r>
        <w:rPr>
          <w:b/>
        </w:rPr>
        <w:t>E. 3.2</w:t>
      </w:r>
    </w:p>
    <w:p>
      <w:r>
        <w:t>Ob ein behinderungsbedingt oder anderweitig begründeter Abzug vom Tabellenlohn vorzunehmen ist, stellt eine frei überprüfbare Rechtsfrage dar ( BGE 132 V 393 E. 3.3 S. 399; Urteil 8C_604/2011 vom 23. Januar 2012 E. 4.2.1). Die Festlegung der Höhe eines solchen Leidensabzugs hingegen beschlägt eine typische Ermessensfrage, welche angesichts der dem Bundesgericht zukommenden Überprüfungsbefugnis letztinstanzlicher Korrektur nur mehr dort zugänglich ist ( Art. 95 und 97 BGG ), wo das kantonale Gericht sein Ermessen rechtsfehlerhaft ausgeübt hat, also bei Ermessensüberschreitung oder -unterschreitung bzw. bei Ermessensmissbrauch als Formen rechtsfehlerhafter ( Art. 95 lit. a BGG ) Ermessensbetätigung ( BGE 132 V 393 E. 2.2 S. 396 und E. 3.3 S. 399).</w:t>
      </w:r>
    </w:p>
    <w:p>
      <w:r>
        <w:rPr>
          <w:b/>
        </w:rPr>
        <w:t>E. 3.3</w:t>
      </w:r>
    </w:p>
    <w:p>
      <w:r>
        <w:t>Im Gegensatz zur Kognition des Bundesgerichts ist diejenige der Vorinstanz in diesem Zusammenhang nicht auf Rechtsverletzung (einschliesslich Ermessensüberschreitung, -missbrauch oder -unterschreitung) beschränkt, sondern erstreckt sich auch auf die Beurteilung der Angemessenheit der Verwaltungsverfügung ( BGE 137 V 73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mit Hinweis).</w:t>
      </w:r>
    </w:p>
    <w:p>
      <w:r>
        <w:rPr>
          <w:b/>
        </w:rPr>
        <w:t>E. 4.1</w:t>
      </w:r>
    </w:p>
    <w:p>
      <w:r>
        <w:t>Die Vorinstanz stellte (wie schon die Beschwerdeführerin) bei der Beurteilung der verbleibenden unfallbedingten Beeinträchtigungen und deren Auswirkungen auf die Arbeitsfähigkeit auf das orthopädische Gutachten des Dr. med. D.________ vom 15. Juni 2015 ab. Dieser kam zum Schluss, dem Beschwerdegegner sei aufgrund der Unfallfolgen eine leichte, einarmige, wechselbelastende Tätigkeit für den linken Unterarm möglich, bei der nur auf Tischhöhe ohne repetitive Tätigkeiten gearbeitet werden könne und das Tragen bzw. Heben von Gewichten über 2 kg entfalle. In einer solchen leidensangepassten Tätigkeit betrage die Arbeitsfähigkeit 100 %. Dr. med. D.________ verwies ergänzend auf das Gutachten vom 1. November 2013, das Dr. med. E.________, Facharzt für Orthopädische Chirurgie FMH, Basel, zuhanden der Beschwerdeführerin erstellt hatte. Bereits dieser Experte hatte festgehalten, dass die Arbeitsfähigkeit im angestammten Beruf nicht mehr möglich sei und eine Arbeitsfähigkeit nur in einer leichten Tätigkeit ohne Einsatz des rechten Arms gegeben sei. Ebenso bestehe wegen der linksseitigen Rotatorenmanschettenruptur keine Arbeitsfähigkeit für Tätigkeiten mit körperlicher Belastung. Dennoch sei ohne Hebeleistungen und notwendige Elevation des linken Arms eine leichte Tätigkeit möglich.</w:t>
      </w:r>
    </w:p>
    <w:p>
      <w:r>
        <w:t>Die Vorinstanz führte aus, dass gemäss diesem Zumutbarkeitsprofil der dominante rechte Arm nicht mehr eingesetzt werden könne und auch die Tätigkeiten für den linken Arm, insbesondere hinsichtlich der Belastbarkeit, erheblich eingeschränkt seien. Es sei davon auszugehen, dass die erwerbliche Verwertung der verbliebenen Arbeitsfähigkeit an einem konkreten Arbeitsplatz verglichen mit einem gesunden Versicherten ganz erheblich erschwert sei. Der Versicherte sei demnach selbst im Rahmen leichter körperlicher Tätigkeiten in seiner Leistungsfähigkeit unfallbedingt eingeschränkt, was rechtsprechungsgemäss einen Abzug auf dem Invalideneinkommen rechtfertige. In Anbetracht dessen, dass das Bundesgericht in ständiger Rechtsprechung bei faktischer Einhändigkeit des dominanten Arms, oder wenn der dominante Arm nur noch eine Zudienfunktion habe, Abzüge zwischen 20 und 25 % zugestanden habe, erscheine in Würdigung der gesamten Umstände ein Leidensabzug von 20 % als angemessen.</w:t>
      </w:r>
    </w:p>
    <w:p>
      <w:r>
        <w:rPr>
          <w:b/>
        </w:rPr>
        <w:t>E. 5.1</w:t>
      </w:r>
    </w:p>
    <w:p>
      <w:r>
        <w:t>Die Beschwerdeführerin wendet dagegen im Wesentlichen ein, die Vorinstanz habe ihr Ermessen rechtsfehlerhaft ausgeübt, indem sie einen leidensbedingten Abzug von 20 % gewährte, anstatt von einem Abzug abzusehen. Sie verweist dazu zunächst auf die ständige Rechtsprechung des Bundesgerichts, wonach Personen, die funktionell als Einarmige zu betrachten sind und nur noch leichte Arbeit verrichten können, auf dem ausgeglichenen Arbeitsmarkt genügend realistische Betätigungsmöglichkeiten zur Verfügung stehen (z.B. Überwachungs-, Prüf- und Kontrolltätigkeiten; anstelle vieler: Urteil 8C_31/2017 vom 30. März 2017 E. 6.2 mit Hinweisen). Entgegen ihrer Auffassung lässt sich daraus nicht ableiten, dass ein leidensbedingter Abzug grundsätzlich ausgeschlossen wäre; vielmehr ist anhand der konkreten Umstände des Einzelfalls zu prüfen, ob die Voraussetzungen hierfür gegeben sind. Das kantonale Gericht trug dieser Rechtsprechung insofern Rechnung, als es die Verwertbarkeit der unfallbedingten Restarbeitsfähigkeit in einem 100%-Pensum bejahte. Anschliessend führte es - zutreffend - aus, dass der Beschwerdegegner nicht nur seinen rechten Arm nicht mehr einsetzen könne, sondern auch im Gebrauch seines linken Arms deutlich eingeschränkt sei, was die Verwertbarkeit seiner verbleibenden Arbeitsfähigkeit im Vergleich zu einem gesunden Versicherten erheblich erschwere. Dass die Vorinstanz angesichts dieser einschneidenden Beeinträchtigungen einen Abzug gewährte, erweist sich somit nicht als bundesrechtswidrig.</w:t>
      </w:r>
    </w:p>
    <w:p>
      <w:r>
        <w:rPr>
          <w:b/>
        </w:rPr>
        <w:t>E. 5.2</w:t>
      </w:r>
    </w:p>
    <w:p>
      <w:r>
        <w:t>Bei der Bemessung der Höhe des Abzugs orientierte sich das kantonale Gericht (wie gezeigt) an der bundesgerichtlichen Rechtsprechung, wonach eine faktische Einhändigkeit oder Beschränkung der dominanten Hand als Zudienhand einen Abzug von 20 bis 25 % zu rechtfertigen vermag (Urteil 9C_418/2008 vom 17. September 2008 E. 3.3.2 und 3.3.3 mit Hinweisen; vgl. auch Urteil 8C_670/2015 vom 12. Februar 2016 E. 5.2). Angesichts dieser Praxis und mit Blick auf die erheblichen Einschränkungen des Versicherten an beiden oberen Extremitäten erweist sich ein leidensbedingter Abzug von 20 % nicht als überhöht (wie die Beschwerdeführerin geltend macht), so dass dem kantonalen Gericht auch keine rechtsfehlerhafte Ermessensausübung vorgeworfen werden kann.</w:t>
      </w:r>
    </w:p>
    <w:p>
      <w:r>
        <w:rPr>
          <w:b/>
        </w:rPr>
        <w:t>E. 5.3</w:t>
      </w:r>
    </w:p>
    <w:p>
      <w:r>
        <w:t>Etwas anderes ergibt sich schliesslich nicht daraus, dass die IV-Stelle ebenfalls einen Abzug von 20 % vornahm, obwohl sie nicht nur die hier relevanten, unfallbedingten Beeinträchtigungen, sondern auch weitere, krankheitsbedingte Einschränkungen (insbesondere die Zumutbarkeit eines blossen Teilzeitpensums) mitberücksichtigte. Denn die Invaliditätsschätzung der Invalidenversicherung entfaltet gegenüber dem Unfallversicherer keine Bindungswirkung ( BGE 131 V 362 E. 2.2 S. 366 f.). Vielmehr haben die IV-Stellen und die Unfallversicherer die Invaliditätsbemessung in jedem einzelnen Fall selbstständig vorzunehmen. Sie dürfen sich ohne weitere eigene Prüfung nicht mit der blossen Übernahme des Invaliditätsgrads des jeweils andern Sozialversicherers begnügen ( BGE 133 V 549 E. 6.1 S. 553). Folglich ist die Unfallversicherung (bzw. das Gericht im Unfallversicherungsverfahren) auch nicht an die von der IV-Stelle vorgenommene Schätzung des leidensbedingten Abzugs gebunden, sondern hat aufgrund der konkreten, im Zusammenhang mit dem Unfall stehenden Umstände nach pflichtgemässem Ermessen eine eigene Schätzung durchzuführen. Im Ergebnis ist die Beschwerde abzuweisen.</w:t>
      </w:r>
    </w:p>
    <w:p>
      <w:r>
        <w:rPr>
          <w:b/>
        </w:rPr>
        <w:t>E. 6</w:t>
      </w:r>
    </w:p>
    <w:p>
      <w:r>
        <w:t>Bei diesem Verfahrensausgang hat die Beschwerdeführerin die Gerichtskosten zu tragen ( Art. 66 Abs. 1 Satz 1 BGG ) und dem Beschwerdegegner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