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8C_742/2022 vom 17. Januar 2023</w:t>
      </w:r>
    </w:p>
    <w:p>
      <w:r>
        <w:t>Bundesgericht, 2023-01-17, DE</w:t>
      </w:r>
    </w:p>
    <w:p>
      <w:r>
        <w:rPr>
          <w:b/>
        </w:rPr>
        <w:t xml:space="preserve">Quelle: </w:t>
      </w:r>
      <w:r>
        <w:t>https://mcp.opencaselaw.ch/entscheid/bger_8C_742_2022</w:t>
      </w:r>
    </w:p>
    <w:p>
      <w:r>
        <w:t>FR: TF 8C_742/2022 du 17 janvier 2023</w:t>
      </w:r>
    </w:p>
    <w:p>
      <w:r>
        <w:t>IT: TF 8C_742/2022 del 17 gennaio 2023</w:t>
      </w:r>
    </w:p>
    <w:p>
      <w:pPr>
        <w:pStyle w:val="Heading2"/>
      </w:pPr>
      <w:r>
        <w:t>Erwägungen</w:t>
      </w:r>
    </w:p>
    <w:p>
      <w:r>
        <w:rPr>
          <w:b/>
        </w:rPr>
        <w:t>E. 1</w:t>
      </w:r>
    </w:p>
    <w:p>
      <w:r>
        <w:t>Mit Schreiben vom 16. Dezember 2022 leitete das Verwaltungsgericht des Kantons Thurgau eine Eingabe von A.________ vom 15. Dezember 2022 (Poststempel) an das Bundesgericht weiter. Mit Mitteilung vom 20. Dezember 2022 wies dieses A.________ auf die gesetzlichen Anforderungen an Rechtsschriften hinsichtlich Begehren und Begründung ( Art. 42 Abs. 2 BGG ), auf die nur innert der Beschwerdefrist bestehende Verbesserungsmöglichkeit sowie auf die Kostenrisiken hin.</w:t>
      </w:r>
    </w:p>
    <w:p>
      <w:r>
        <w:rPr>
          <w:b/>
        </w:rPr>
        <w:t>E. 2</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3</w:t>
      </w:r>
    </w:p>
    <w:p>
      <w:r>
        <w:t>Das Verwaltungsgericht des Kantons Thurgau gelangte in seinem Entscheid vom 28. September 2022 in Auseinandersetzung mit den Parteivorbringen und in Würdigung der Akten zur Überzeugung, die Arbeitslosenkasse des Kantons Thurgau habe zu Recht den Betrag von Fr. 19'558.15 wegen ungerechtfertigt ausbezahlter Kurzarbeitsentschädigung zurückgefordert.</w:t>
      </w:r>
    </w:p>
    <w:p>
      <w:r>
        <w:rPr>
          <w:b/>
        </w:rPr>
        <w:t>E. 4</w:t>
      </w:r>
    </w:p>
    <w:p>
      <w:r>
        <w:t>Inwiefern das kantonale Gericht mit dieser Vorgehensweise gegen Bundesrecht verstossen oder einen anderen Beschwerdegrund (vgl. Art. 95 lit. a-e BGG ) gesetzt haben sollte, legt die Beschwerdeführerin nicht dar. Stattdessen trägt sie ausschliesslich ausserhalb davon Liegendes vor, wobei sie auch nach Erhalt der Mitteilung vom 20. Dezember 2022 nicht mit weiteren Vorbringen aufwartet.</w:t>
      </w:r>
    </w:p>
    <w:p>
      <w:r>
        <w:rPr>
          <w:b/>
        </w:rPr>
        <w:t>E. 5</w:t>
      </w:r>
    </w:p>
    <w:p>
      <w:r>
        <w:t>Damit liegt offensichtlich keine hinreichend sachbezogen begründete Beschwerde vor, was zu einem Nichteintreten im vereinfachten Verfahren nach Art. 108 Abs. 1 lit. b BGG führt.</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