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8C_742/2020 vom 11. Dezember 2020</w:t>
      </w:r>
    </w:p>
    <w:p>
      <w:r>
        <w:t>Bundesgericht, 2020-12-11, DE</w:t>
      </w:r>
    </w:p>
    <w:p>
      <w:r>
        <w:rPr>
          <w:b/>
        </w:rPr>
        <w:t xml:space="preserve">Quelle: </w:t>
      </w:r>
      <w:r>
        <w:t>https://mcp.opencaselaw.ch/entscheid/bger_8C_742_2020</w:t>
      </w:r>
    </w:p>
    <w:p>
      <w:r>
        <w:t>FR: TF 8C_742/2020 du 11 décembre 2020</w:t>
      </w:r>
    </w:p>
    <w:p>
      <w:r>
        <w:t>IT: TF 8C_742/2020 del 11 dicembre 2020</w:t>
      </w:r>
    </w:p>
    <w:p>
      <w:pPr>
        <w:pStyle w:val="Heading2"/>
      </w:pPr>
      <w:r>
        <w:t>Volltext</w:t>
      </w:r>
    </w:p>
    <w:p>
      <w:r>
        <w:t>Bundesgericht</w:t>
      </w:r>
    </w:p>
    <w:p>
      <w:r>
        <w:t>Tribunal fédéral</w:t>
      </w:r>
    </w:p>
    <w:p>
      <w:r>
        <w:t>Tribunale federale</w:t>
      </w:r>
    </w:p>
    <w:p>
      <w:r>
        <w:t>Tribunal federal</w:t>
      </w:r>
    </w:p>
    <w:p>
      <w:r>
        <w:t>8C_742/2020</w:t>
      </w:r>
    </w:p>
    <w:p>
      <w:r>
        <w:t>Urteil vom 11. Dezember 2020</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Arbeitslosenkasse des Kantons Zürich, Zürcherstrasse 8, 8400 Winterthur,</w:t>
      </w:r>
    </w:p>
    <w:p>
      <w:r>
        <w:t>Beschwerdegegnerin.</w:t>
      </w:r>
    </w:p>
    <w:p>
      <w:r>
        <w:t>Gegenstand</w:t>
      </w:r>
    </w:p>
    <w:p>
      <w:r>
        <w:t>Arbeitslosenversicherung (Prozessvoraussetzung),</w:t>
      </w:r>
    </w:p>
    <w:p>
      <w:r>
        <w:t>Beschwerde gegen den Entscheid des Sozialversicherungsgerichts des Kantons Zürich</w:t>
      </w:r>
    </w:p>
    <w:p>
      <w:r>
        <w:t>vom 30. September 2020 (AL.2020.00177).</w:t>
      </w:r>
    </w:p>
    <w:p>
      <w:r>
        <w:t>Nach Einsicht</w:t>
      </w:r>
    </w:p>
    <w:p>
      <w:r>
        <w:t>in die Beschwerde vom 3. Dezember 2020 (Poststempel) gegen den Entscheid des Sozialversicherungsgerichts des Kantons Zürich vom 30. September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(vgl. BGE 136 I 65 E. 1.3.1 S. 68 und 134 II 244 E. 2.1 f. S. 245 f.),</w:t>
      </w:r>
    </w:p>
    <w:p>
      <w:r>
        <w:t>dass die Feststellung des Sachverhalts in Arbeitslosenversicherungsstreitigkeiten nur gerügt werden kann, wenn sie offensichtlich unrichtig ist oder auf einer Rechtsverletzung im Sinne von Art. 95 BGG beruht und wenn die Behebung des Mangels für den Ausgang des Verfahrens entscheidend sein kann ( Art. 97 Abs. 1 BGG ),</w:t>
      </w:r>
    </w:p>
    <w:p>
      <w:r>
        <w:t>dass das kantonale Gericht in Auseinandersetzung mit den Parteivorbringen und Würdigung der Akten zur Überzeugung gelangt ist, der von der Verwaltung mit Einspracheentscheid vom 11. Juni 2020 festgelegte Taggeldanspruch von 380 Tagen erweise sich als rechtens,</w:t>
      </w:r>
    </w:p>
    <w:p>
      <w:r>
        <w:t>dass es auch näher darlegte, weshalb der Beschwerdeführerin für das Verfahren vor dem kantonalen Gericht kein Rechtsvertreter beizugeben war,</w:t>
      </w:r>
    </w:p>
    <w:p>
      <w:r>
        <w:t>dass die Beschwerdeführerin die Nichtberücksichtigung von vor der Vorinstanz geltend gemachten Umständen rügt, ohne indessen darzutun, inwiefern diese für die Entscheidfindung von massgeblicher Bedeutung gewesen sein sollen ( Art. 97 Abs. 1 BGG ),</w:t>
      </w:r>
    </w:p>
    <w:p>
      <w:r>
        <w:t>dass sich auch die weiteren Vorbringen auf eine letztinstanzlich nicht zulässige appellatorische Kritik des angefochtenen Entscheids beschränken, ohne konkret auf das vom kantonalen Gericht Erwogene einzugehen und aufzuzeigen, inwiefern die Vorinstanz gegen Bundesrecht verstossen haben soll; lediglich den Geschehensablauf zu schildern und daraus auf eine ungerechte, herzlose Missachtung der Umstände zu schliessen, reicht genau so wenig aus, wie die vorinstanzliche Verfahrensführung als unfair zu bezeichnen,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dem Staatssekretariat für Wirtschaft (SECO) und dem Amt für Wirtschaft und Arbeit des Kantons Zürich schriftlich mitgeteilt.</w:t>
      </w:r>
    </w:p>
    <w:p>
      <w:r>
        <w:t>Luzern, 11. Dezember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