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8C_73/2015 vom 15. April 2015</w:t>
      </w:r>
    </w:p>
    <w:p>
      <w:r>
        <w:t>Bundesgericht, 2015-04-15, DE</w:t>
      </w:r>
    </w:p>
    <w:p>
      <w:r>
        <w:rPr>
          <w:b/>
        </w:rPr>
        <w:t xml:space="preserve">Quelle: </w:t>
      </w:r>
      <w:r>
        <w:t>https://mcp.opencaselaw.ch/entscheid/bger_8C_73_2015</w:t>
      </w:r>
    </w:p>
    <w:p>
      <w:r>
        <w:t>FR: TF 8C_73/2015 du 15 avril 2015</w:t>
      </w:r>
    </w:p>
    <w:p>
      <w:r>
        <w:t>IT: TF 8C_73/2015 del 15 aprile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Bei den gerichtlichen Feststellungen zum Gesundheitszustand und zur Arbeitsfähigkeit bzw. deren Veränderung in einem bestimmten Zeitraum handelt es sich um Tatfragen ( BGE 132 V 393 E. 3.2 S. 397 ff.). Gleiches gilt für die konkrete Beweiswürdigung (nicht publ. E. 4.1 des Urteils BGE 135 V 254 , in SVR 2009 IV Nr. 53 S. 164 [9C_204/2009]). Dagegen sind die Beachtung des Untersuchungsgrundsatzes und der Beweiswürdigungsregeln nach Art. 61 lit. c ATSG , die unvollständige Feststellung rechtserheblicher Tatsachen sowie die Missachtung des Untersuchungsgrundsatzes ( Art. 43 Abs. 1, Art. 61 lit. c ATSG ) Rechtsfragen.</w:t>
      </w:r>
    </w:p>
    <w:p>
      <w:r>
        <w:rPr>
          <w:b/>
        </w:rPr>
        <w:t>E. 2</w:t>
      </w:r>
    </w:p>
    <w:p>
      <w:r>
        <w:t>Nach Art. 53 Abs. 2 ATSG kann der Versicherungsträger auf formell rechtskräftige Verfügungen zurückkommen, wenn diese zweifellos unrichtig sind und wenn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9C_500/2013 vom 29. November 2013 E. 4 mit Hinweisen).</w:t>
      </w:r>
    </w:p>
    <w:p>
      <w:r>
        <w:rPr>
          <w:b/>
        </w:rPr>
        <w:t>E. 3.1.1</w:t>
      </w:r>
    </w:p>
    <w:p>
      <w:r>
        <w:t>Das kantonale Gericht hat zunächst geprüft, ob die IV-Stelle zutreffend einen Revisionsgrund gemäss Art. 17 Abs. 1 ATSG annahm. Es hat diese Frage mit der Begründung verneint, der psychiatrische Sachverständige des Begutachtungszentrums C.________ habe nicht dargelegt, ob und inwieweit sich der Gesundheitszustand im massgeblichen Zeitraum seit Erlass der Rentenverfügung vom 5. März 2003 bis zur revisionsweisen Neuprüfung (Verfügung vom 28. April 2014) erheblich verbessert habe.</w:t>
      </w:r>
    </w:p>
    <w:p>
      <w:r>
        <w:rPr>
          <w:b/>
        </w:rPr>
        <w:t>E. 3.1.2</w:t>
      </w:r>
    </w:p>
    <w:p>
      <w:r>
        <w:t>Sodann hat die Vorinstanz erkannt, dass der Rentenverfügung vom 5. März 2003 massgeblich die Berichte des Dr. med. B.________ vom 4. Februar und 2. September 2002 zugrunde lagen. Danach litt der Versicherte an einem chronischen Cervicovertebralsyndrom (bei Status nach Spondylodese auf Höhe der Halswirbelkörper C5 bis C7 wegen einer Diskushernie im Bereich von C5/C6) sowie wiederkehrenden depressiven, dysphorischen Episoden, weswegen er im Beruf als Kältetechniker vollständig arbeitsunfähig war. Damit stand gemäss den weiteren vorinstanzlichen Erwägungen fest, dass die Verwaltung die massgebliche Arbeitsunfähigkeit auf offensichtlich unzulänglichen Beweisgrundlagen beurteilte. Zum einem verfügte Dr. med. B.________ über keine psychiatrische Ausbildung, weshalb die IV-Stelle den medizinischen Sachverhalt bezüglich der psychischen Beeinträchtigungen praxisgemäss fachärztlich hätte abklären müssen. Zum anderen fiel auf, dass Dr. med. B.________ die Arbeitsfähigkeit in einer den körperlichen Einschränkungen angepassten Tätigkeit nicht thematisierte. Insgesamt hatte die Verwaltung nach den abschliessenden vorinstanzlichen Erwägungen den ihr obliegenden Untersuchungsgrundsatz (vgl. Art. 43 Abs. 1 und Art. 44 ATSG ) offensichtlich verletzt, weshalb die Rentenverfügung vom 5. März 2003 in Wiedererwägung zu ziehen sei.</w:t>
      </w:r>
    </w:p>
    <w:p>
      <w:r>
        <w:rPr>
          <w:b/>
        </w:rPr>
        <w:t>E. 3.2</w:t>
      </w:r>
    </w:p>
    <w:p>
      <w:r>
        <w:t>Was der Beschwerdeführer vorbringt, dringt nicht durch. Er übersieht, dass gerade die von ihm aus dem Bericht des Dr. med. B.________ vom 4. Februar 2002 zitierte Stelle ("Die Arbeitsfähigkeit kann bei einem neuen Arbeitsplatz ... im bisherigen Tätigkeitsbereich nicht verbessert werden. Es würde nur eine Umschulung in einen nicht handwerklichen Beruf die Arbeitsfähigkeit verbessern, jedoch ist dies nur möglich, wenn der Patient weniger Schmerzen hat und aus seiner Depression herausfindet") die vorinstanzliche Beurteilung untermauert. Nichts anderes ergibt sich aus dem Austrittsbericht der Rehaklinik E.________ vom 7. November 2001, wonach die Wiedereingliederung in den angestammten Beruf angestrebt wurde. Schliesslich kann auch aus dem polydisziplinären Gutachten des Begutachtungszentrums C.________ vom 29. August 2013 hinsichtlich der zu diskutierenden Frage nichts gewonnen werden, zumal die medizinischen Sachverständigen, wie der Beschwerdeführer selber einräumt, dazu nicht Stellung nahmen, bzw. mangels aussagekräftiger echtzeitlicher medizinischer Unterlagen nicht Stellung nehmen konnten. Zur Verdeutlichung der nicht zu beanstandenden vorinstanzlichen Erwägungen ist darauf hinzuweisen, dass Dr. med. D.________, Psychiatrie und Psychotherapie FMH, im Teilgutachten vom 20. August 2013 einzig festhielt, dass sich die zu diagnostizierende Schmerzstörung mit körperlichen und psychischen Faktoren (ICD-10: F45.41) bezogen auf leichte bis mittelschwere manuelle Tätigkeiten auch angesichts eines zu vermutenden primären Krankheitsgewinnes nicht leistungsmindernd auswirkte.</w:t>
      </w:r>
    </w:p>
    <w:p>
      <w:r>
        <w:rPr>
          <w:b/>
        </w:rPr>
        <w:t>E. 3.3</w:t>
      </w:r>
    </w:p>
    <w:p>
      <w:r>
        <w:t>Zusammengefasst ist in Bestätigung des vorinstanzlichen Entscheids festzuhalten, dass aus der eindeutigen Begründung der Rentenverfügung vom 5. März 2003 einzig der Schluss zu ziehen ist, die Verwaltung habe aus der ärztlich eingeschätzten vollständigen Arbeitsunfähigkeit im angestammten Beruf als Kältetechniker auf einen gleich hohen Invaliditätsgrad von 100 % geschlossen. Damit liess die IV-Stelle die für die Bestimmung des Invaliditätsgrades massgeblichen Art. 7 und 16 ATSG ausser Acht, weshalb ohne Weiteres davon auszugehen ist, dass die Rentenverfügung vom 5. März 2003 auf einer zweifellos unrichtigen Rechtsanwendung beruhte.</w:t>
      </w:r>
    </w:p>
    <w:p>
      <w:r>
        <w:rPr>
          <w:b/>
        </w:rPr>
        <w:t>E. 3.4.1</w:t>
      </w:r>
    </w:p>
    <w:p>
      <w:r>
        <w:t>Entsprechend diesem Ergebnis hat die Vorinstanz zu Recht den Sachverhalt ex nunc et pro futuro (vgl. Art. 88bis Abs. 2 lit a IVV ) ohne Bindung an revisionsrechtliche Grundsätze frei geprüft. Sie hat für das Bundesgericht verbindlich erkannt, dass keine konkreten Indizien vorlagen (vgl. BGE 135 V 465 E. 4.4 S. 470 oben; 125 V 351 E. 3b/bb S. 353 mit Hinweisen), die gegen die Zuverlässigkeit und damit die Beweiskraft des polydisziplinären Gutachtens des Begutachtungszentrums C.________ vom 29. August 2013 sprachen. Danach litt der Versicherte an einem chronifizierten, tendomyotischen und cervicovertebralen Syndrom (bei Status nach Spondylodese C6/C7 [1991] und cervicaler Schmerzexacerbation nach Sturz mit Schulterkontusion [2001]) sowie an einer Schmerzstörung mit körperlichen und psychischen Faktoren (ICD-10: F45.41); aus orthopädischer Sicht waren ihm schwere Überkopfarbeiten und Verrichtungen in Zwangshaltung nicht mehr zumutbar, dagegen vermochte er leichte bis mittelschwere manuelle Tätigkeiten oder Kontroll- und Überwachungsarbeiten vollschichtig auszuführen, wobei er wegen der Nachbarsegment-Pathologie bei C6/C7 gelegentliche Pausen benötigte, weswegen das Rendement um insgesamt 30 % zu reduzieren war.</w:t>
      </w:r>
    </w:p>
    <w:p>
      <w:r>
        <w:rPr>
          <w:b/>
        </w:rPr>
        <w:t>E. 3.4.2</w:t>
      </w:r>
    </w:p>
    <w:p>
      <w:r>
        <w:t>Gestützt darauf hat das kantonale Gericht anhand der Schweizerischen Lohnstrukturerhebung des Bundesamtes für Statistik das der Bestimmung des Invaliditätsgrades gemäss Art. 16 ATSG zugrunde zu legende hypothetische Invalideinkommen unbestritten auf Fr. 44'119.- festgelegt. Verglichen mit dem vor- und letztinstanzlich nicht beanstandeten, von der IV-Stelle auf Fr. 85'751.- festgelegten Valideneinkommen ergibt sich ein Invaliditätsgrad von gerundet 47 %, weshalb der Versicherte künftig (vgl. Revisionsverfügung vom 28. April 2014) nurmehr Anspruch auf eine Viertelsrente der Invalidenversicherung hatte.</w:t>
      </w:r>
    </w:p>
    <w:p>
      <w:r>
        <w:rPr>
          <w:b/>
        </w:rPr>
        <w:t>E. 4</w:t>
      </w:r>
    </w:p>
    <w:p>
      <w:r>
        <w:t>Dem Beschwerdeführer werden als unterliegender Partei die Gerichtskosten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